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D1A" w:rsidRDefault="00674D99">
      <w:pPr>
        <w:tabs>
          <w:tab w:val="center" w:pos="4536"/>
        </w:tabs>
        <w:rPr>
          <w:b/>
          <w:i/>
        </w:rPr>
      </w:pPr>
      <w:bookmarkStart w:id="0" w:name="_gjdgxs" w:colFirst="0" w:colLast="0"/>
      <w:bookmarkEnd w:id="0"/>
      <w:r>
        <w:rPr>
          <w:b/>
          <w:i/>
        </w:rPr>
        <w:t xml:space="preserve"> </w:t>
      </w:r>
      <w:r>
        <w:rPr>
          <w:b/>
          <w:i/>
        </w:rPr>
        <w:tab/>
      </w:r>
    </w:p>
    <w:p w:rsidR="00510D1A" w:rsidRDefault="00510D1A">
      <w:pPr>
        <w:pStyle w:val="Title"/>
        <w:spacing w:after="0"/>
        <w:rPr>
          <w:rFonts w:ascii="Georgia" w:eastAsia="Georgia" w:hAnsi="Georgia" w:cs="Georgia"/>
        </w:rPr>
      </w:pPr>
    </w:p>
    <w:p w:rsidR="00510D1A" w:rsidRDefault="00674D99">
      <w:pPr>
        <w:pStyle w:val="Title"/>
        <w:rPr>
          <w:rFonts w:ascii="Georgia" w:eastAsia="Georgia" w:hAnsi="Georgia" w:cs="Georgia"/>
          <w:sz w:val="32"/>
          <w:szCs w:val="32"/>
        </w:rPr>
      </w:pPr>
      <w:r>
        <w:rPr>
          <w:rFonts w:ascii="Georgia" w:eastAsia="Georgia" w:hAnsi="Georgia" w:cs="Georgia"/>
          <w:sz w:val="32"/>
          <w:szCs w:val="32"/>
        </w:rPr>
        <w:t xml:space="preserve">Press Release </w:t>
      </w:r>
    </w:p>
    <w:tbl>
      <w:tblPr>
        <w:tblStyle w:val="a"/>
        <w:tblW w:w="8928" w:type="dxa"/>
        <w:tblLayout w:type="fixed"/>
        <w:tblLook w:val="0000" w:firstRow="0" w:lastRow="0" w:firstColumn="0" w:lastColumn="0" w:noHBand="0" w:noVBand="0"/>
      </w:tblPr>
      <w:tblGrid>
        <w:gridCol w:w="2268"/>
        <w:gridCol w:w="6660"/>
      </w:tblGrid>
      <w:tr w:rsidR="00510D1A">
        <w:tc>
          <w:tcPr>
            <w:tcW w:w="2268" w:type="dxa"/>
          </w:tcPr>
          <w:p w:rsidR="00510D1A" w:rsidRDefault="00674D99">
            <w:pPr>
              <w:rPr>
                <w:i/>
                <w:sz w:val="24"/>
                <w:szCs w:val="24"/>
              </w:rPr>
            </w:pPr>
            <w:r>
              <w:rPr>
                <w:i/>
                <w:sz w:val="24"/>
                <w:szCs w:val="24"/>
              </w:rPr>
              <w:t>Date</w:t>
            </w:r>
          </w:p>
        </w:tc>
        <w:tc>
          <w:tcPr>
            <w:tcW w:w="6660" w:type="dxa"/>
          </w:tcPr>
          <w:p w:rsidR="00510D1A" w:rsidRDefault="00674D99">
            <w:pPr>
              <w:rPr>
                <w:b/>
                <w:sz w:val="24"/>
                <w:szCs w:val="24"/>
              </w:rPr>
            </w:pPr>
            <w:r>
              <w:rPr>
                <w:b/>
                <w:sz w:val="24"/>
                <w:szCs w:val="24"/>
              </w:rPr>
              <w:t>Embargoed until 00.01 hrs GMT, 11th March 2019</w:t>
            </w:r>
          </w:p>
          <w:p w:rsidR="00510D1A" w:rsidRDefault="00510D1A">
            <w:pPr>
              <w:rPr>
                <w:b/>
                <w:sz w:val="24"/>
                <w:szCs w:val="24"/>
              </w:rPr>
            </w:pPr>
          </w:p>
        </w:tc>
      </w:tr>
      <w:tr w:rsidR="00510D1A">
        <w:tc>
          <w:tcPr>
            <w:tcW w:w="2268" w:type="dxa"/>
          </w:tcPr>
          <w:p w:rsidR="00510D1A" w:rsidRDefault="00674D99">
            <w:pPr>
              <w:rPr>
                <w:i/>
                <w:sz w:val="24"/>
                <w:szCs w:val="24"/>
              </w:rPr>
            </w:pPr>
            <w:r>
              <w:rPr>
                <w:i/>
                <w:sz w:val="24"/>
                <w:szCs w:val="24"/>
              </w:rPr>
              <w:t>Contact</w:t>
            </w:r>
          </w:p>
        </w:tc>
        <w:tc>
          <w:tcPr>
            <w:tcW w:w="6660" w:type="dxa"/>
          </w:tcPr>
          <w:p w:rsidR="00510D1A" w:rsidRDefault="00674D99">
            <w:pPr>
              <w:rPr>
                <w:sz w:val="24"/>
                <w:szCs w:val="24"/>
              </w:rPr>
            </w:pPr>
            <w:r>
              <w:rPr>
                <w:sz w:val="24"/>
                <w:szCs w:val="24"/>
              </w:rPr>
              <w:t xml:space="preserve">Mike Davies, global </w:t>
            </w:r>
            <w:r w:rsidR="00F2239B">
              <w:rPr>
                <w:sz w:val="24"/>
                <w:szCs w:val="24"/>
              </w:rPr>
              <w:t>communications,</w:t>
            </w:r>
            <w:r>
              <w:rPr>
                <w:sz w:val="24"/>
                <w:szCs w:val="24"/>
              </w:rPr>
              <w:t xml:space="preserve"> PwC</w:t>
            </w:r>
            <w:r>
              <w:rPr>
                <w:sz w:val="24"/>
                <w:szCs w:val="24"/>
              </w:rPr>
              <w:br/>
              <w:t xml:space="preserve">Tel: +44 7803 974136 </w:t>
            </w:r>
            <w:r>
              <w:rPr>
                <w:sz w:val="24"/>
                <w:szCs w:val="24"/>
              </w:rPr>
              <w:br/>
              <w:t xml:space="preserve">Email: </w:t>
            </w:r>
            <w:hyperlink r:id="rId7">
              <w:r>
                <w:rPr>
                  <w:color w:val="1155CC"/>
                  <w:sz w:val="24"/>
                  <w:szCs w:val="24"/>
                </w:rPr>
                <w:t>mike.davies@pwc.com</w:t>
              </w:r>
            </w:hyperlink>
            <w:r>
              <w:rPr>
                <w:sz w:val="24"/>
                <w:szCs w:val="24"/>
              </w:rPr>
              <w:t xml:space="preserve"> </w:t>
            </w:r>
          </w:p>
          <w:p w:rsidR="00510D1A" w:rsidRDefault="00510D1A">
            <w:pPr>
              <w:tabs>
                <w:tab w:val="left" w:pos="1440"/>
              </w:tabs>
              <w:rPr>
                <w:sz w:val="24"/>
                <w:szCs w:val="24"/>
              </w:rPr>
            </w:pPr>
          </w:p>
        </w:tc>
      </w:tr>
      <w:tr w:rsidR="00510D1A">
        <w:trPr>
          <w:trHeight w:val="540"/>
        </w:trPr>
        <w:tc>
          <w:tcPr>
            <w:tcW w:w="2268" w:type="dxa"/>
          </w:tcPr>
          <w:p w:rsidR="00510D1A" w:rsidRDefault="00674D99">
            <w:pPr>
              <w:rPr>
                <w:i/>
                <w:sz w:val="24"/>
                <w:szCs w:val="24"/>
              </w:rPr>
            </w:pPr>
            <w:r>
              <w:rPr>
                <w:i/>
                <w:sz w:val="24"/>
                <w:szCs w:val="24"/>
              </w:rPr>
              <w:t xml:space="preserve">Pages </w:t>
            </w:r>
          </w:p>
        </w:tc>
        <w:tc>
          <w:tcPr>
            <w:tcW w:w="6660" w:type="dxa"/>
          </w:tcPr>
          <w:p w:rsidR="00510D1A" w:rsidRDefault="00674D99">
            <w:pPr>
              <w:rPr>
                <w:sz w:val="24"/>
                <w:szCs w:val="24"/>
              </w:rPr>
            </w:pPr>
            <w:r>
              <w:rPr>
                <w:sz w:val="24"/>
                <w:szCs w:val="24"/>
              </w:rPr>
              <w:t>2</w:t>
            </w:r>
            <w:r>
              <w:rPr>
                <w:noProof/>
              </w:rPr>
              <mc:AlternateContent>
                <mc:Choice Requires="wps">
                  <w:drawing>
                    <wp:anchor distT="0" distB="0" distL="114300" distR="114300" simplePos="0" relativeHeight="251658240" behindDoc="0" locked="0" layoutInCell="1" hidden="0" allowOverlap="1">
                      <wp:simplePos x="0" y="0"/>
                      <wp:positionH relativeFrom="column">
                        <wp:posOffset>-2412999</wp:posOffset>
                      </wp:positionH>
                      <wp:positionV relativeFrom="paragraph">
                        <wp:posOffset>292100</wp:posOffset>
                      </wp:positionV>
                      <wp:extent cx="5436296"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27852" y="3773737"/>
                                <a:ext cx="5436296" cy="12526"/>
                              </a:xfrm>
                              <a:prstGeom prst="straightConnector1">
                                <a:avLst/>
                              </a:prstGeom>
                              <a:noFill/>
                              <a:ln w="9525" cap="flat" cmpd="sng">
                                <a:solidFill>
                                  <a:srgbClr val="E36C0A"/>
                                </a:solidFill>
                                <a:prstDash val="solid"/>
                                <a:round/>
                                <a:headEnd type="none" w="med" len="med"/>
                                <a:tailEnd type="none" w="med" len="med"/>
                              </a:ln>
                            </wps:spPr>
                            <wps:bodyPr/>
                          </wps:wsp>
                        </a:graphicData>
                      </a:graphic>
                    </wp:anchor>
                  </w:drawing>
                </mc:Choice>
                <mc:Fallback>
                  <w:pict>
                    <v:shapetype w14:anchorId="3A2DFA7C" id="_x0000_t32" coordsize="21600,21600" o:spt="32" o:oned="t" path="m,l21600,21600e" filled="f">
                      <v:path arrowok="t" fillok="f" o:connecttype="none"/>
                      <o:lock v:ext="edit" shapetype="t"/>
                    </v:shapetype>
                    <v:shape id="Straight Arrow Connector 1" o:spid="_x0000_s1026" type="#_x0000_t32" style="position:absolute;margin-left:-190pt;margin-top:23pt;width:428.0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" strokecolor="#e36c0a"/>
                  </w:pict>
                </mc:Fallback>
              </mc:AlternateContent>
            </w:r>
          </w:p>
        </w:tc>
      </w:tr>
    </w:tbl>
    <w:p w:rsidR="00510D1A" w:rsidRDefault="00510D1A">
      <w:pPr>
        <w:tabs>
          <w:tab w:val="left" w:pos="284"/>
        </w:tabs>
      </w:pPr>
    </w:p>
    <w:p w:rsidR="00510D1A" w:rsidRDefault="00674D99">
      <w:pPr>
        <w:rPr>
          <w:b/>
          <w:color w:val="000000"/>
          <w:sz w:val="28"/>
          <w:szCs w:val="28"/>
        </w:rPr>
      </w:pPr>
      <w:r>
        <w:rPr>
          <w:b/>
          <w:color w:val="000000"/>
          <w:sz w:val="28"/>
          <w:szCs w:val="28"/>
        </w:rPr>
        <w:t xml:space="preserve">New York, London and Hong Kong </w:t>
      </w:r>
      <w:r>
        <w:rPr>
          <w:b/>
          <w:sz w:val="28"/>
          <w:szCs w:val="28"/>
        </w:rPr>
        <w:t>expected to remain as top listing destinations</w:t>
      </w:r>
      <w:r>
        <w:rPr>
          <w:b/>
          <w:color w:val="000000"/>
          <w:sz w:val="28"/>
          <w:szCs w:val="28"/>
        </w:rPr>
        <w:t xml:space="preserve"> in 2030 </w:t>
      </w:r>
    </w:p>
    <w:p w:rsidR="00510D1A" w:rsidRDefault="00510D1A">
      <w:pPr>
        <w:rPr>
          <w:b/>
          <w:color w:val="000000"/>
          <w:sz w:val="28"/>
          <w:szCs w:val="28"/>
        </w:rPr>
      </w:pPr>
    </w:p>
    <w:p w:rsidR="00510D1A" w:rsidRDefault="00674D99">
      <w:pPr>
        <w:numPr>
          <w:ilvl w:val="0"/>
          <w:numId w:val="1"/>
        </w:numPr>
        <w:rPr>
          <w:color w:val="000000"/>
        </w:rPr>
      </w:pPr>
      <w:r>
        <w:rPr>
          <w:sz w:val="22"/>
          <w:szCs w:val="22"/>
        </w:rPr>
        <w:t>Exchanges in d</w:t>
      </w:r>
      <w:r>
        <w:rPr>
          <w:color w:val="000000"/>
          <w:sz w:val="22"/>
          <w:szCs w:val="22"/>
        </w:rPr>
        <w:t xml:space="preserve">eveloped markets </w:t>
      </w:r>
      <w:r>
        <w:rPr>
          <w:sz w:val="22"/>
          <w:szCs w:val="22"/>
        </w:rPr>
        <w:t xml:space="preserve">are proving to be resilient, benefitting from their recognised liquidity and stability </w:t>
      </w:r>
    </w:p>
    <w:p w:rsidR="00510D1A" w:rsidRDefault="00674D99">
      <w:pPr>
        <w:numPr>
          <w:ilvl w:val="0"/>
          <w:numId w:val="1"/>
        </w:numPr>
        <w:rPr>
          <w:color w:val="000000"/>
        </w:rPr>
      </w:pPr>
      <w:r>
        <w:rPr>
          <w:color w:val="000000"/>
          <w:sz w:val="22"/>
          <w:szCs w:val="22"/>
        </w:rPr>
        <w:t>Companies from China and India expect</w:t>
      </w:r>
      <w:r>
        <w:rPr>
          <w:sz w:val="22"/>
          <w:szCs w:val="22"/>
        </w:rPr>
        <w:t>ed</w:t>
      </w:r>
      <w:r>
        <w:rPr>
          <w:color w:val="000000"/>
          <w:sz w:val="22"/>
          <w:szCs w:val="22"/>
        </w:rPr>
        <w:t xml:space="preserve"> to dominate issuance in 2030, although growth of e</w:t>
      </w:r>
      <w:r>
        <w:rPr>
          <w:sz w:val="22"/>
          <w:szCs w:val="22"/>
        </w:rPr>
        <w:t xml:space="preserve">xchanges in </w:t>
      </w:r>
      <w:r>
        <w:rPr>
          <w:color w:val="000000"/>
          <w:sz w:val="22"/>
          <w:szCs w:val="22"/>
        </w:rPr>
        <w:t>emerging markets</w:t>
      </w:r>
      <w:r>
        <w:rPr>
          <w:sz w:val="22"/>
          <w:szCs w:val="22"/>
        </w:rPr>
        <w:t xml:space="preserve"> </w:t>
      </w:r>
      <w:r>
        <w:rPr>
          <w:color w:val="000000"/>
          <w:sz w:val="22"/>
          <w:szCs w:val="22"/>
        </w:rPr>
        <w:t>ha</w:t>
      </w:r>
      <w:r>
        <w:rPr>
          <w:sz w:val="22"/>
          <w:szCs w:val="22"/>
        </w:rPr>
        <w:t>s</w:t>
      </w:r>
      <w:r>
        <w:rPr>
          <w:color w:val="000000"/>
          <w:sz w:val="22"/>
          <w:szCs w:val="22"/>
        </w:rPr>
        <w:t xml:space="preserve"> been more subd</w:t>
      </w:r>
      <w:r>
        <w:rPr>
          <w:sz w:val="22"/>
          <w:szCs w:val="22"/>
        </w:rPr>
        <w:t>ued than anticipated</w:t>
      </w:r>
    </w:p>
    <w:p w:rsidR="00510D1A" w:rsidRDefault="00674D99">
      <w:pPr>
        <w:numPr>
          <w:ilvl w:val="0"/>
          <w:numId w:val="1"/>
        </w:numPr>
        <w:rPr>
          <w:color w:val="000000"/>
        </w:rPr>
      </w:pPr>
      <w:r>
        <w:rPr>
          <w:sz w:val="22"/>
          <w:szCs w:val="22"/>
        </w:rPr>
        <w:t>Seventy per cent of respondents expect businesses to consider going public at some stage, notwithstanding p</w:t>
      </w:r>
      <w:r>
        <w:rPr>
          <w:color w:val="000000"/>
          <w:sz w:val="22"/>
          <w:szCs w:val="22"/>
        </w:rPr>
        <w:t xml:space="preserve">ublic </w:t>
      </w:r>
      <w:r>
        <w:rPr>
          <w:sz w:val="22"/>
          <w:szCs w:val="22"/>
        </w:rPr>
        <w:t xml:space="preserve">equity </w:t>
      </w:r>
      <w:r>
        <w:rPr>
          <w:color w:val="000000"/>
          <w:sz w:val="22"/>
          <w:szCs w:val="22"/>
        </w:rPr>
        <w:t>becoming a less important source of funding</w:t>
      </w:r>
    </w:p>
    <w:p w:rsidR="00510D1A" w:rsidRDefault="00674D99">
      <w:pPr>
        <w:numPr>
          <w:ilvl w:val="0"/>
          <w:numId w:val="1"/>
        </w:numPr>
        <w:rPr>
          <w:color w:val="000000"/>
        </w:rPr>
      </w:pPr>
      <w:r>
        <w:rPr>
          <w:sz w:val="22"/>
          <w:szCs w:val="22"/>
        </w:rPr>
        <w:t>The range of financing alternatives has increased, with p</w:t>
      </w:r>
      <w:r>
        <w:rPr>
          <w:color w:val="000000"/>
          <w:sz w:val="22"/>
          <w:szCs w:val="22"/>
        </w:rPr>
        <w:t xml:space="preserve">rivate equity being </w:t>
      </w:r>
      <w:r>
        <w:rPr>
          <w:sz w:val="22"/>
          <w:szCs w:val="22"/>
        </w:rPr>
        <w:t>the preferred</w:t>
      </w:r>
      <w:r>
        <w:rPr>
          <w:color w:val="000000"/>
          <w:sz w:val="22"/>
          <w:szCs w:val="22"/>
        </w:rPr>
        <w:t xml:space="preserve"> option</w:t>
      </w:r>
    </w:p>
    <w:p w:rsidR="00510D1A" w:rsidRDefault="00510D1A">
      <w:pPr>
        <w:rPr>
          <w:sz w:val="22"/>
          <w:szCs w:val="22"/>
        </w:rPr>
      </w:pPr>
    </w:p>
    <w:p w:rsidR="00510D1A" w:rsidRDefault="00674D99">
      <w:pPr>
        <w:rPr>
          <w:sz w:val="22"/>
          <w:szCs w:val="22"/>
        </w:rPr>
      </w:pPr>
      <w:r>
        <w:rPr>
          <w:b/>
          <w:color w:val="000000"/>
          <w:sz w:val="22"/>
          <w:szCs w:val="22"/>
        </w:rPr>
        <w:t>London, 11</w:t>
      </w:r>
      <w:r>
        <w:rPr>
          <w:b/>
          <w:color w:val="000000"/>
          <w:sz w:val="22"/>
          <w:szCs w:val="22"/>
          <w:vertAlign w:val="superscript"/>
        </w:rPr>
        <w:t>th</w:t>
      </w:r>
      <w:r>
        <w:rPr>
          <w:b/>
          <w:color w:val="000000"/>
          <w:sz w:val="22"/>
          <w:szCs w:val="22"/>
        </w:rPr>
        <w:t xml:space="preserve"> March 2019</w:t>
      </w:r>
      <w:r>
        <w:rPr>
          <w:b/>
          <w:sz w:val="22"/>
          <w:szCs w:val="22"/>
        </w:rPr>
        <w:t xml:space="preserve">:  </w:t>
      </w:r>
      <w:r>
        <w:rPr>
          <w:sz w:val="22"/>
          <w:szCs w:val="22"/>
        </w:rPr>
        <w:t xml:space="preserve">The top four exchanges that issuers will consider beyond their home exchange in 2030 are the New York Stock Exchange (NYSE) (37%), Nasdaq (26%), London Stock Exchange (LSE) (24%), and Hong Kong Stock Exchange (24%), according to </w:t>
      </w:r>
      <w:r>
        <w:rPr>
          <w:i/>
          <w:sz w:val="22"/>
          <w:szCs w:val="22"/>
        </w:rPr>
        <w:t>Capital Markets in 2030</w:t>
      </w:r>
      <w:r>
        <w:rPr>
          <w:sz w:val="22"/>
          <w:szCs w:val="22"/>
        </w:rPr>
        <w:t xml:space="preserve">, new research by The Economist Intelligence Unit on behalf of PwC.  The survey asked nearly 400 executives at companies from across the globe for their views on </w:t>
      </w:r>
      <w:bookmarkStart w:id="1" w:name="_GoBack"/>
      <w:bookmarkEnd w:id="1"/>
      <w:r>
        <w:rPr>
          <w:sz w:val="22"/>
          <w:szCs w:val="22"/>
        </w:rPr>
        <w:t xml:space="preserve">the factors that are defining the development of global equity capital markets, following up from a 2011 report. </w:t>
      </w:r>
    </w:p>
    <w:p w:rsidR="00510D1A" w:rsidRDefault="00510D1A">
      <w:pPr>
        <w:rPr>
          <w:sz w:val="22"/>
          <w:szCs w:val="22"/>
        </w:rPr>
      </w:pPr>
    </w:p>
    <w:p w:rsidR="00510D1A" w:rsidRDefault="00674D99">
      <w:pPr>
        <w:rPr>
          <w:sz w:val="22"/>
          <w:szCs w:val="22"/>
        </w:rPr>
      </w:pPr>
      <w:r>
        <w:rPr>
          <w:sz w:val="22"/>
          <w:szCs w:val="22"/>
        </w:rPr>
        <w:t>This marks a change from 2011 when respondents predicted that Shanghai market would be the leading exchange by 2025, followed by NYSE, the Indian exchanges and Brazil’s Bovespa.</w:t>
      </w:r>
    </w:p>
    <w:p w:rsidR="00510D1A" w:rsidRDefault="00510D1A">
      <w:pPr>
        <w:rPr>
          <w:sz w:val="22"/>
          <w:szCs w:val="22"/>
        </w:rPr>
      </w:pPr>
    </w:p>
    <w:p w:rsidR="00510D1A" w:rsidRDefault="00674D99">
      <w:pPr>
        <w:rPr>
          <w:sz w:val="22"/>
          <w:szCs w:val="22"/>
        </w:rPr>
      </w:pPr>
      <w:r>
        <w:rPr>
          <w:sz w:val="22"/>
          <w:szCs w:val="22"/>
        </w:rPr>
        <w:t>Ross Hunter, PwC Global IPO Centre leader, comments:</w:t>
      </w:r>
    </w:p>
    <w:p w:rsidR="00510D1A" w:rsidRDefault="00510D1A">
      <w:pPr>
        <w:ind w:left="142"/>
        <w:rPr>
          <w:sz w:val="22"/>
          <w:szCs w:val="22"/>
        </w:rPr>
      </w:pPr>
    </w:p>
    <w:p w:rsidR="00510D1A" w:rsidRDefault="00674D99">
      <w:pPr>
        <w:ind w:left="142"/>
        <w:rPr>
          <w:sz w:val="22"/>
          <w:szCs w:val="22"/>
        </w:rPr>
      </w:pPr>
      <w:r>
        <w:rPr>
          <w:sz w:val="22"/>
          <w:szCs w:val="22"/>
        </w:rPr>
        <w:t>“Excessive optimism about emerging markets has been tempered by political and market realities. Expectations are now for a more closely run race between developed and emerging markets exchanges.”</w:t>
      </w:r>
    </w:p>
    <w:p w:rsidR="00510D1A" w:rsidRDefault="00510D1A">
      <w:pPr>
        <w:rPr>
          <w:sz w:val="22"/>
          <w:szCs w:val="22"/>
        </w:rPr>
      </w:pPr>
    </w:p>
    <w:p w:rsidR="00510D1A" w:rsidRDefault="00674D99">
      <w:pPr>
        <w:rPr>
          <w:sz w:val="22"/>
          <w:szCs w:val="22"/>
        </w:rPr>
      </w:pPr>
      <w:r>
        <w:rPr>
          <w:sz w:val="22"/>
          <w:szCs w:val="22"/>
        </w:rPr>
        <w:t xml:space="preserve">Looking at the IPO pipeline, China (55%) is the country predicted </w:t>
      </w:r>
      <w:r w:rsidR="009870EC">
        <w:rPr>
          <w:sz w:val="22"/>
          <w:szCs w:val="22"/>
        </w:rPr>
        <w:t>to generate</w:t>
      </w:r>
      <w:r>
        <w:rPr>
          <w:sz w:val="22"/>
          <w:szCs w:val="22"/>
        </w:rPr>
        <w:t xml:space="preserve"> the most new issuers by 2030 followed by India (45%), the US (41%), Brazil (21%) and, despite Brexit concerns, the UK (18%).  China and India also led in this category in our previous survey.  Both have been taking steps to develop their equity capital markets, with a number of </w:t>
      </w:r>
      <w:r w:rsidR="009870EC">
        <w:rPr>
          <w:sz w:val="22"/>
          <w:szCs w:val="22"/>
        </w:rPr>
        <w:t>recent initiatives</w:t>
      </w:r>
      <w:r>
        <w:rPr>
          <w:sz w:val="22"/>
          <w:szCs w:val="22"/>
        </w:rPr>
        <w:t xml:space="preserve"> in China in particular.</w:t>
      </w:r>
    </w:p>
    <w:p w:rsidR="00510D1A" w:rsidRDefault="00674D99">
      <w:pPr>
        <w:rPr>
          <w:sz w:val="22"/>
          <w:szCs w:val="22"/>
        </w:rPr>
      </w:pPr>
      <w:r>
        <w:rPr>
          <w:sz w:val="22"/>
          <w:szCs w:val="22"/>
        </w:rPr>
        <w:t xml:space="preserve">Liquidity remains the top priority (selected as most important by 49% of respondents) when choosing a listing location. There is also an increase in the focus on valuations (32%) and concern about the costs of listing (29%). </w:t>
      </w:r>
    </w:p>
    <w:p w:rsidR="00510D1A" w:rsidRDefault="00510D1A">
      <w:pPr>
        <w:rPr>
          <w:sz w:val="22"/>
          <w:szCs w:val="22"/>
        </w:rPr>
      </w:pPr>
    </w:p>
    <w:p w:rsidR="00510D1A" w:rsidRDefault="00674D99">
      <w:pPr>
        <w:rPr>
          <w:sz w:val="22"/>
          <w:szCs w:val="22"/>
        </w:rPr>
      </w:pPr>
      <w:r>
        <w:rPr>
          <w:sz w:val="22"/>
          <w:szCs w:val="22"/>
        </w:rPr>
        <w:lastRenderedPageBreak/>
        <w:t xml:space="preserve">PwC anticipates that technology will continue to be a significant driver in the future of public companies.  </w:t>
      </w:r>
      <w:r>
        <w:rPr>
          <w:color w:val="333333"/>
          <w:sz w:val="22"/>
          <w:szCs w:val="22"/>
          <w:highlight w:val="white"/>
        </w:rPr>
        <w:t xml:space="preserve">Increasing efforts by leading financial centres to win over technology and ‘new economy’ companies will continue to intensify competition between the New York and China (mainland China and Hong Kong) exchanges in particular. </w:t>
      </w:r>
    </w:p>
    <w:p w:rsidR="00510D1A" w:rsidRDefault="00510D1A">
      <w:pPr>
        <w:rPr>
          <w:sz w:val="22"/>
          <w:szCs w:val="22"/>
        </w:rPr>
      </w:pPr>
    </w:p>
    <w:p w:rsidR="00510D1A" w:rsidRDefault="00674D99">
      <w:pPr>
        <w:rPr>
          <w:sz w:val="22"/>
          <w:szCs w:val="22"/>
        </w:rPr>
      </w:pPr>
      <w:r>
        <w:rPr>
          <w:sz w:val="22"/>
          <w:szCs w:val="22"/>
        </w:rPr>
        <w:t>It is clear that in recent years companies’ options for raising capital have increased.  Some 76% of respondents believe that there are now more choices of both public and private financing routes in both developed and emerging markets.</w:t>
      </w:r>
    </w:p>
    <w:p w:rsidR="00510D1A" w:rsidRDefault="00510D1A">
      <w:pPr>
        <w:rPr>
          <w:sz w:val="22"/>
          <w:szCs w:val="22"/>
        </w:rPr>
      </w:pPr>
    </w:p>
    <w:p w:rsidR="00510D1A" w:rsidRDefault="00674D99">
      <w:pPr>
        <w:rPr>
          <w:sz w:val="22"/>
          <w:szCs w:val="22"/>
        </w:rPr>
      </w:pPr>
      <w:r>
        <w:rPr>
          <w:sz w:val="22"/>
          <w:szCs w:val="22"/>
        </w:rPr>
        <w:t xml:space="preserve">Although 70% of respondents believe a public listing is becoming a less important source of funding globally, a similar proportion of survey respondents think it would be advantageous for successful companies to go public over some point in their life cycle. The most attractive private funding option, selected by 55% of respondents, is private equity. </w:t>
      </w:r>
    </w:p>
    <w:p w:rsidR="00510D1A" w:rsidRDefault="00510D1A">
      <w:pPr>
        <w:rPr>
          <w:sz w:val="22"/>
          <w:szCs w:val="22"/>
        </w:rPr>
      </w:pPr>
    </w:p>
    <w:p w:rsidR="00510D1A" w:rsidRDefault="00674D99">
      <w:pPr>
        <w:rPr>
          <w:sz w:val="22"/>
          <w:szCs w:val="22"/>
        </w:rPr>
      </w:pPr>
      <w:r>
        <w:rPr>
          <w:sz w:val="22"/>
          <w:szCs w:val="22"/>
        </w:rPr>
        <w:t>Ross states: “Private equity has been significantly influencing capital markets in recent years, leading to fewer, larger, later IPOs - particularly with technology and ‘new economy’ companies.”</w:t>
      </w:r>
    </w:p>
    <w:p w:rsidR="00510D1A" w:rsidRDefault="00510D1A">
      <w:pPr>
        <w:rPr>
          <w:sz w:val="22"/>
          <w:szCs w:val="22"/>
        </w:rPr>
      </w:pPr>
    </w:p>
    <w:p w:rsidR="00510D1A" w:rsidRDefault="00674D99">
      <w:pPr>
        <w:rPr>
          <w:sz w:val="22"/>
          <w:szCs w:val="22"/>
        </w:rPr>
      </w:pPr>
      <w:r>
        <w:rPr>
          <w:sz w:val="22"/>
          <w:szCs w:val="22"/>
        </w:rPr>
        <w:t>Ultimately, therefore, rather than simply being seen as rivals to public equity markets, companies increasingly consider private markets to be complementary sources of capital that they can tap into when appropriate.</w:t>
      </w:r>
    </w:p>
    <w:p w:rsidR="00510D1A" w:rsidRDefault="00510D1A">
      <w:pPr>
        <w:rPr>
          <w:sz w:val="22"/>
          <w:szCs w:val="22"/>
        </w:rPr>
      </w:pPr>
    </w:p>
    <w:p w:rsidR="00510D1A" w:rsidRDefault="00674D99">
      <w:pPr>
        <w:rPr>
          <w:sz w:val="22"/>
          <w:szCs w:val="22"/>
        </w:rPr>
      </w:pPr>
      <w:r>
        <w:rPr>
          <w:sz w:val="22"/>
          <w:szCs w:val="22"/>
        </w:rPr>
        <w:t>Ross Hunter concludes:</w:t>
      </w:r>
    </w:p>
    <w:p w:rsidR="00510D1A" w:rsidRDefault="00510D1A">
      <w:pPr>
        <w:rPr>
          <w:sz w:val="22"/>
          <w:szCs w:val="22"/>
        </w:rPr>
      </w:pPr>
    </w:p>
    <w:p w:rsidR="00510D1A" w:rsidRDefault="00674D99">
      <w:pPr>
        <w:ind w:left="142"/>
        <w:rPr>
          <w:sz w:val="22"/>
          <w:szCs w:val="22"/>
        </w:rPr>
      </w:pPr>
      <w:r>
        <w:rPr>
          <w:sz w:val="22"/>
          <w:szCs w:val="22"/>
        </w:rPr>
        <w:t>“For companies, the choice of credible exchanges for public listings, as well as the range of private funding options, will continue to expand, adding to the alternatives when they seek to raise capital.”</w:t>
      </w:r>
    </w:p>
    <w:p w:rsidR="00510D1A" w:rsidRDefault="00510D1A">
      <w:pPr>
        <w:rPr>
          <w:sz w:val="22"/>
          <w:szCs w:val="22"/>
        </w:rPr>
      </w:pPr>
    </w:p>
    <w:p w:rsidR="00510D1A" w:rsidRDefault="00510D1A">
      <w:pPr>
        <w:rPr>
          <w:sz w:val="22"/>
          <w:szCs w:val="22"/>
        </w:rPr>
      </w:pPr>
    </w:p>
    <w:p w:rsidR="00510D1A" w:rsidRDefault="00674D99">
      <w:pPr>
        <w:rPr>
          <w:b/>
          <w:sz w:val="22"/>
          <w:szCs w:val="22"/>
        </w:rPr>
      </w:pPr>
      <w:r>
        <w:rPr>
          <w:b/>
          <w:sz w:val="22"/>
          <w:szCs w:val="22"/>
        </w:rPr>
        <w:t>Ends.</w:t>
      </w:r>
    </w:p>
    <w:p w:rsidR="00510D1A" w:rsidRDefault="00510D1A">
      <w:pPr>
        <w:rPr>
          <w:b/>
          <w:sz w:val="22"/>
          <w:szCs w:val="22"/>
        </w:rPr>
      </w:pPr>
    </w:p>
    <w:p w:rsidR="00510D1A" w:rsidRDefault="00674D99">
      <w:pPr>
        <w:rPr>
          <w:b/>
          <w:sz w:val="22"/>
          <w:szCs w:val="22"/>
        </w:rPr>
      </w:pPr>
      <w:r>
        <w:rPr>
          <w:b/>
          <w:sz w:val="22"/>
          <w:szCs w:val="22"/>
        </w:rPr>
        <w:t>Notes to editors.</w:t>
      </w:r>
    </w:p>
    <w:p w:rsidR="00510D1A" w:rsidRDefault="00510D1A">
      <w:pPr>
        <w:tabs>
          <w:tab w:val="left" w:pos="2043"/>
        </w:tabs>
        <w:rPr>
          <w:b/>
          <w:sz w:val="22"/>
          <w:szCs w:val="22"/>
        </w:rPr>
      </w:pPr>
    </w:p>
    <w:p w:rsidR="00510D1A" w:rsidRDefault="00674D99">
      <w:r>
        <w:t xml:space="preserve">For a copy of </w:t>
      </w:r>
      <w:r>
        <w:rPr>
          <w:i/>
        </w:rPr>
        <w:t>Capital Markets in 2030</w:t>
      </w:r>
      <w:r>
        <w:t xml:space="preserve"> please contact </w:t>
      </w:r>
      <w:hyperlink r:id="rId8">
        <w:r>
          <w:rPr>
            <w:color w:val="1155CC"/>
            <w:u w:val="single"/>
          </w:rPr>
          <w:t>mike.davies@pwc.com</w:t>
        </w:r>
      </w:hyperlink>
      <w:r>
        <w:t xml:space="preserve"> or follow this link:</w:t>
      </w:r>
    </w:p>
    <w:p w:rsidR="00510D1A" w:rsidRDefault="009A3A39">
      <w:hyperlink r:id="rId9">
        <w:r w:rsidR="00674D99">
          <w:rPr>
            <w:rFonts w:ascii="Arial" w:eastAsia="Arial" w:hAnsi="Arial" w:cs="Arial"/>
            <w:color w:val="1155CC"/>
            <w:sz w:val="22"/>
            <w:szCs w:val="22"/>
            <w:highlight w:val="white"/>
            <w:u w:val="single"/>
          </w:rPr>
          <w:t>https://www.pwc.com/capital-markets-2030.html</w:t>
        </w:r>
      </w:hyperlink>
    </w:p>
    <w:p w:rsidR="00510D1A" w:rsidRDefault="00510D1A">
      <w:pPr>
        <w:rPr>
          <w:sz w:val="24"/>
          <w:szCs w:val="24"/>
        </w:rPr>
      </w:pPr>
    </w:p>
    <w:p w:rsidR="00510D1A" w:rsidRDefault="00674D99">
      <w:pPr>
        <w:spacing w:line="276" w:lineRule="auto"/>
        <w:rPr>
          <w:b/>
          <w:color w:val="000000"/>
        </w:rPr>
      </w:pPr>
      <w:r>
        <w:rPr>
          <w:b/>
          <w:color w:val="000000"/>
        </w:rPr>
        <w:t>About PwC</w:t>
      </w:r>
    </w:p>
    <w:p w:rsidR="00510D1A" w:rsidRDefault="00674D99">
      <w:pPr>
        <w:pBdr>
          <w:top w:val="nil"/>
          <w:left w:val="nil"/>
          <w:bottom w:val="nil"/>
          <w:right w:val="nil"/>
          <w:between w:val="nil"/>
        </w:pBdr>
        <w:rPr>
          <w:color w:val="222222"/>
          <w:highlight w:val="white"/>
        </w:rPr>
      </w:pPr>
      <w:r>
        <w:rPr>
          <w:color w:val="222222"/>
        </w:rPr>
        <w:t xml:space="preserve">At PwC, our purpose is to build trust in society and solve important problems. We’re a network of firms in 158 countries with over 250,000 people who are committed to delivering quality in assurance, advisory and tax services. Find out more and tell us what matters to you by visiting us at </w:t>
      </w:r>
      <w:hyperlink r:id="rId10">
        <w:r>
          <w:rPr>
            <w:color w:val="1155CC"/>
          </w:rPr>
          <w:t>www.pwc.com</w:t>
        </w:r>
      </w:hyperlink>
      <w:r>
        <w:rPr>
          <w:color w:val="222222"/>
        </w:rPr>
        <w:t>.</w:t>
      </w:r>
    </w:p>
    <w:p w:rsidR="00510D1A" w:rsidRDefault="00510D1A">
      <w:pPr>
        <w:rPr>
          <w:color w:val="222222"/>
          <w:highlight w:val="white"/>
        </w:rPr>
      </w:pPr>
    </w:p>
    <w:p w:rsidR="00510D1A" w:rsidRDefault="00674D99">
      <w:pPr>
        <w:pBdr>
          <w:top w:val="nil"/>
          <w:left w:val="nil"/>
          <w:bottom w:val="nil"/>
          <w:right w:val="nil"/>
          <w:between w:val="nil"/>
        </w:pBdr>
        <w:rPr>
          <w:color w:val="222222"/>
          <w:highlight w:val="white"/>
        </w:rPr>
      </w:pPr>
      <w:r>
        <w:rPr>
          <w:color w:val="222222"/>
        </w:rPr>
        <w:t xml:space="preserve">PwC refers to the PwC network and/or one or more of its member firms, each of which is a separate legal entity. Please see </w:t>
      </w:r>
      <w:hyperlink r:id="rId11">
        <w:r>
          <w:rPr>
            <w:color w:val="1155CC"/>
          </w:rPr>
          <w:t>www.pwc.com/structure</w:t>
        </w:r>
      </w:hyperlink>
      <w:r>
        <w:rPr>
          <w:color w:val="222222"/>
        </w:rPr>
        <w:t xml:space="preserve"> for further details.</w:t>
      </w:r>
    </w:p>
    <w:p w:rsidR="00510D1A" w:rsidRDefault="00510D1A">
      <w:pPr>
        <w:rPr>
          <w:color w:val="222222"/>
          <w:highlight w:val="white"/>
        </w:rPr>
      </w:pPr>
    </w:p>
    <w:p w:rsidR="00510D1A" w:rsidRDefault="00674D99">
      <w:pPr>
        <w:pBdr>
          <w:top w:val="nil"/>
          <w:left w:val="nil"/>
          <w:bottom w:val="nil"/>
          <w:right w:val="nil"/>
          <w:between w:val="nil"/>
        </w:pBdr>
        <w:rPr>
          <w:color w:val="222222"/>
          <w:highlight w:val="white"/>
        </w:rPr>
      </w:pPr>
      <w:r>
        <w:rPr>
          <w:color w:val="222222"/>
        </w:rPr>
        <w:t>© 2019 PwC. All rights reserved</w:t>
      </w:r>
    </w:p>
    <w:p w:rsidR="00510D1A" w:rsidRDefault="00510D1A">
      <w:pPr>
        <w:spacing w:line="276" w:lineRule="auto"/>
      </w:pPr>
    </w:p>
    <w:sectPr w:rsidR="00510D1A">
      <w:headerReference w:type="even" r:id="rId12"/>
      <w:headerReference w:type="default" r:id="rId13"/>
      <w:footerReference w:type="even" r:id="rId14"/>
      <w:footerReference w:type="default" r:id="rId15"/>
      <w:headerReference w:type="first" r:id="rId16"/>
      <w:footerReference w:type="first" r:id="rId17"/>
      <w:pgSz w:w="11907" w:h="16839"/>
      <w:pgMar w:top="2268" w:right="1134" w:bottom="993" w:left="156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A39" w:rsidRDefault="009A3A39">
      <w:r>
        <w:separator/>
      </w:r>
    </w:p>
  </w:endnote>
  <w:endnote w:type="continuationSeparator" w:id="0">
    <w:p w:rsidR="009A3A39" w:rsidRDefault="009A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D1A" w:rsidRDefault="00674D99">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4A1056">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4A1056">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D1A" w:rsidRDefault="00674D99">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D1A" w:rsidRDefault="00510D1A">
    <w:pPr>
      <w:pBdr>
        <w:top w:val="nil"/>
        <w:left w:val="nil"/>
        <w:bottom w:val="nil"/>
        <w:right w:val="nil"/>
        <w:between w:val="nil"/>
      </w:pBdr>
      <w:tabs>
        <w:tab w:val="center" w:pos="4513"/>
        <w:tab w:val="right" w:pos="9026"/>
      </w:tabs>
      <w:rPr>
        <w:color w:val="000000"/>
      </w:rPr>
    </w:pPr>
  </w:p>
  <w:p w:rsidR="00510D1A" w:rsidRDefault="00510D1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A39" w:rsidRDefault="009A3A39">
      <w:r>
        <w:separator/>
      </w:r>
    </w:p>
  </w:footnote>
  <w:footnote w:type="continuationSeparator" w:id="0">
    <w:p w:rsidR="009A3A39" w:rsidRDefault="009A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D1A" w:rsidRDefault="00674D99">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simplePos x="0" y="0"/>
          <wp:positionH relativeFrom="column">
            <wp:posOffset>-710563</wp:posOffset>
          </wp:positionH>
          <wp:positionV relativeFrom="paragraph">
            <wp:posOffset>0</wp:posOffset>
          </wp:positionV>
          <wp:extent cx="1410970" cy="126873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10970" cy="1268730"/>
                  </a:xfrm>
                  <a:prstGeom prst="rect">
                    <a:avLst/>
                  </a:prstGeom>
                  <a:ln/>
                </pic:spPr>
              </pic:pic>
            </a:graphicData>
          </a:graphic>
        </wp:anchor>
      </w:drawing>
    </w:r>
  </w:p>
  <w:p w:rsidR="00510D1A" w:rsidRDefault="00510D1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D1A" w:rsidRDefault="00674D99">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simplePos x="0" y="0"/>
          <wp:positionH relativeFrom="column">
            <wp:posOffset>-559434</wp:posOffset>
          </wp:positionH>
          <wp:positionV relativeFrom="paragraph">
            <wp:posOffset>0</wp:posOffset>
          </wp:positionV>
          <wp:extent cx="1410970" cy="126873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10970" cy="1268730"/>
                  </a:xfrm>
                  <a:prstGeom prst="rect">
                    <a:avLst/>
                  </a:prstGeom>
                  <a:ln/>
                </pic:spPr>
              </pic:pic>
            </a:graphicData>
          </a:graphic>
        </wp:anchor>
      </w:drawing>
    </w:r>
  </w:p>
  <w:p w:rsidR="00510D1A" w:rsidRDefault="00510D1A">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D1A" w:rsidRDefault="00674D99">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simplePos x="0" y="0"/>
          <wp:positionH relativeFrom="column">
            <wp:posOffset>-711199</wp:posOffset>
          </wp:positionH>
          <wp:positionV relativeFrom="paragraph">
            <wp:posOffset>0</wp:posOffset>
          </wp:positionV>
          <wp:extent cx="1410970" cy="126873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10970" cy="12687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A2869"/>
    <w:multiLevelType w:val="multilevel"/>
    <w:tmpl w:val="E03873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10D1A"/>
    <w:rsid w:val="004A1056"/>
    <w:rsid w:val="00510D1A"/>
    <w:rsid w:val="00674D99"/>
    <w:rsid w:val="009870EC"/>
    <w:rsid w:val="009A3A39"/>
    <w:rsid w:val="00AE1488"/>
    <w:rsid w:val="00F22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DA80B-32AE-4878-B200-EB4535C8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single" w:sz="8" w:space="1" w:color="DC6900"/>
      </w:pBdr>
      <w:spacing w:after="240"/>
    </w:pPr>
    <w:rPr>
      <w:rFonts w:ascii="Cambria" w:eastAsia="Cambria" w:hAnsi="Cambria" w:cs="Cambria"/>
      <w:b/>
      <w:i/>
      <w:color w:val="000000"/>
      <w:sz w:val="24"/>
      <w:szCs w:val="24"/>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ike.davies@pwc.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e.davies@pwc.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wc.com/structur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w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wc.com/capital-markets-2030.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Davies</dc:creator>
  <cp:lastModifiedBy>Ravi Bhagat</cp:lastModifiedBy>
  <cp:revision>4</cp:revision>
  <dcterms:created xsi:type="dcterms:W3CDTF">2019-03-11T11:45:00Z</dcterms:created>
  <dcterms:modified xsi:type="dcterms:W3CDTF">2019-03-11T13:18:00Z</dcterms:modified>
</cp:coreProperties>
</file>