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BD56D" w14:textId="77777777" w:rsidR="00E7795A" w:rsidRPr="00C530FE" w:rsidRDefault="00E7795A" w:rsidP="009C135A">
      <w:pPr>
        <w:spacing w:line="240" w:lineRule="auto"/>
        <w:jc w:val="center"/>
        <w:rPr>
          <w:rFonts w:ascii="Arial Narrow" w:hAnsi="Arial Narrow"/>
          <w:b/>
          <w:lang w:val="en-GB"/>
        </w:rPr>
      </w:pPr>
      <w:r w:rsidRPr="00C530FE">
        <w:rPr>
          <w:rFonts w:ascii="Arial Narrow" w:hAnsi="Arial Narrow"/>
          <w:noProof/>
        </w:rPr>
        <w:drawing>
          <wp:inline distT="0" distB="0" distL="0" distR="0" wp14:anchorId="4A56D166" wp14:editId="7FAC004E">
            <wp:extent cx="57340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876300"/>
                    </a:xfrm>
                    <a:prstGeom prst="rect">
                      <a:avLst/>
                    </a:prstGeom>
                    <a:noFill/>
                    <a:ln>
                      <a:noFill/>
                    </a:ln>
                  </pic:spPr>
                </pic:pic>
              </a:graphicData>
            </a:graphic>
          </wp:inline>
        </w:drawing>
      </w:r>
    </w:p>
    <w:p w14:paraId="759FAF45" w14:textId="24FEC7F9" w:rsidR="00E7795A" w:rsidRDefault="00E7795A" w:rsidP="00FB5487">
      <w:pPr>
        <w:spacing w:after="0" w:line="240" w:lineRule="auto"/>
        <w:jc w:val="both"/>
        <w:rPr>
          <w:rFonts w:ascii="Arial Narrow" w:hAnsi="Arial Narrow"/>
          <w:b/>
          <w:lang w:val="en-GB"/>
        </w:rPr>
      </w:pPr>
      <w:r w:rsidRPr="00C530FE">
        <w:rPr>
          <w:rFonts w:ascii="Arial Narrow" w:hAnsi="Arial Narrow" w:cs="Helvetica"/>
          <w:i/>
          <w:lang w:val="en-GB"/>
        </w:rPr>
        <w:t xml:space="preserve">For more information, please contact </w:t>
      </w:r>
      <w:r w:rsidR="00534E4C" w:rsidRPr="00C530FE">
        <w:rPr>
          <w:rFonts w:ascii="Arial Narrow" w:hAnsi="Arial Narrow" w:cs="Helvetica"/>
          <w:i/>
          <w:lang w:val="en-GB"/>
        </w:rPr>
        <w:t xml:space="preserve">Catherine Gregory, Senior Manager, Marketing and Communications: e-mail </w:t>
      </w:r>
      <w:hyperlink r:id="rId7" w:history="1">
        <w:r w:rsidR="00534E4C" w:rsidRPr="00C530FE">
          <w:rPr>
            <w:rStyle w:val="Hyperlink"/>
            <w:rFonts w:ascii="Arial Narrow" w:hAnsi="Arial Narrow" w:cs="Helvetica"/>
            <w:i/>
            <w:lang w:val="en-GB"/>
          </w:rPr>
          <w:t>catherine.gregory@uli.org</w:t>
        </w:r>
      </w:hyperlink>
      <w:r w:rsidR="00534E4C">
        <w:rPr>
          <w:rFonts w:ascii="Arial Narrow" w:hAnsi="Arial Narrow" w:cs="Helvetica"/>
          <w:i/>
          <w:lang w:val="en-GB"/>
        </w:rPr>
        <w:t xml:space="preserve"> </w:t>
      </w:r>
      <w:r w:rsidRPr="00C530FE">
        <w:rPr>
          <w:rFonts w:ascii="Arial Narrow" w:hAnsi="Arial Narrow" w:cs="Helvetica"/>
          <w:i/>
          <w:lang w:val="en-GB"/>
        </w:rPr>
        <w:t xml:space="preserve">or </w:t>
      </w:r>
      <w:r w:rsidR="00534E4C" w:rsidRPr="00C530FE">
        <w:rPr>
          <w:rFonts w:ascii="Arial Narrow" w:hAnsi="Arial Narrow" w:cs="Helvetica"/>
          <w:i/>
          <w:lang w:val="en-GB"/>
        </w:rPr>
        <w:t>Trisha</w:t>
      </w:r>
      <w:bookmarkStart w:id="0" w:name="_GoBack"/>
      <w:bookmarkEnd w:id="0"/>
      <w:r w:rsidR="00534E4C" w:rsidRPr="00C530FE">
        <w:rPr>
          <w:rFonts w:ascii="Arial Narrow" w:hAnsi="Arial Narrow" w:cs="Helvetica"/>
          <w:i/>
          <w:lang w:val="en-GB"/>
        </w:rPr>
        <w:t xml:space="preserve"> Riggs, Senior Vice President of Strategic Communications: +1 202-624-7086; e-mail </w:t>
      </w:r>
      <w:hyperlink r:id="rId8" w:history="1">
        <w:r w:rsidR="00534E4C" w:rsidRPr="00C530FE">
          <w:rPr>
            <w:rStyle w:val="Hyperlink"/>
            <w:rFonts w:ascii="Arial Narrow" w:hAnsi="Arial Narrow" w:cs="Helvetica"/>
            <w:i/>
            <w:lang w:val="en-GB"/>
          </w:rPr>
          <w:t>trisha.riggs@uli.org</w:t>
        </w:r>
      </w:hyperlink>
      <w:r w:rsidR="00FB5487">
        <w:rPr>
          <w:rFonts w:ascii="Arial Narrow" w:hAnsi="Arial Narrow"/>
          <w:b/>
          <w:lang w:val="en-GB"/>
        </w:rPr>
        <w:t>.</w:t>
      </w:r>
    </w:p>
    <w:p w14:paraId="5D4A58D2" w14:textId="083E676E" w:rsidR="00FB5487" w:rsidRDefault="00FB5487" w:rsidP="00FB5487">
      <w:pPr>
        <w:spacing w:after="0" w:line="240" w:lineRule="auto"/>
        <w:jc w:val="both"/>
        <w:rPr>
          <w:rFonts w:ascii="Arial Narrow" w:hAnsi="Arial Narrow"/>
          <w:b/>
          <w:lang w:val="en-GB"/>
        </w:rPr>
      </w:pPr>
    </w:p>
    <w:p w14:paraId="5D129318" w14:textId="77777777" w:rsidR="00FB5487" w:rsidRPr="00FB5487" w:rsidRDefault="00FB5487" w:rsidP="00FB5487">
      <w:pPr>
        <w:spacing w:after="0" w:line="240" w:lineRule="auto"/>
        <w:jc w:val="both"/>
        <w:rPr>
          <w:rFonts w:ascii="Arial Narrow" w:hAnsi="Arial Narrow" w:cs="Helvetica"/>
          <w:i/>
          <w:lang w:val="en-GB"/>
        </w:rPr>
      </w:pPr>
    </w:p>
    <w:p w14:paraId="0A13ECF8" w14:textId="46E5C804" w:rsidR="00EB5116" w:rsidRPr="00C530FE" w:rsidRDefault="0077713B" w:rsidP="009C135A">
      <w:pPr>
        <w:spacing w:line="240" w:lineRule="auto"/>
        <w:jc w:val="center"/>
        <w:rPr>
          <w:rFonts w:ascii="Arial Narrow" w:hAnsi="Arial Narrow"/>
          <w:b/>
          <w:lang w:val="en-GB"/>
        </w:rPr>
      </w:pPr>
      <w:r w:rsidRPr="00C530FE">
        <w:rPr>
          <w:rFonts w:ascii="Arial Narrow" w:hAnsi="Arial Narrow"/>
          <w:b/>
          <w:lang w:val="en-GB"/>
        </w:rPr>
        <w:t>ULI</w:t>
      </w:r>
      <w:r w:rsidR="00E7795A" w:rsidRPr="00C530FE">
        <w:rPr>
          <w:rFonts w:ascii="Arial Narrow" w:hAnsi="Arial Narrow"/>
          <w:b/>
          <w:lang w:val="en-GB"/>
        </w:rPr>
        <w:t xml:space="preserve"> / PwC</w:t>
      </w:r>
      <w:r w:rsidRPr="00C530FE">
        <w:rPr>
          <w:rFonts w:ascii="Arial Narrow" w:hAnsi="Arial Narrow"/>
          <w:b/>
          <w:lang w:val="en-GB"/>
        </w:rPr>
        <w:t xml:space="preserve"> Report: </w:t>
      </w:r>
      <w:r w:rsidR="00926850" w:rsidRPr="00C530FE">
        <w:rPr>
          <w:rFonts w:ascii="Arial Narrow" w:hAnsi="Arial Narrow"/>
          <w:b/>
          <w:lang w:val="en-GB"/>
        </w:rPr>
        <w:t>Amidst</w:t>
      </w:r>
      <w:r w:rsidR="00481311" w:rsidRPr="00C530FE">
        <w:rPr>
          <w:rFonts w:ascii="Arial Narrow" w:hAnsi="Arial Narrow"/>
          <w:b/>
          <w:lang w:val="en-GB"/>
        </w:rPr>
        <w:t xml:space="preserve"> a</w:t>
      </w:r>
      <w:r w:rsidR="00926850" w:rsidRPr="00C530FE">
        <w:rPr>
          <w:rFonts w:ascii="Arial Narrow" w:hAnsi="Arial Narrow"/>
          <w:b/>
          <w:lang w:val="en-GB"/>
        </w:rPr>
        <w:t xml:space="preserve"> </w:t>
      </w:r>
      <w:r w:rsidR="00481311" w:rsidRPr="00C530FE">
        <w:rPr>
          <w:rFonts w:ascii="Arial Narrow" w:hAnsi="Arial Narrow"/>
          <w:b/>
          <w:lang w:val="en-GB"/>
        </w:rPr>
        <w:t>Late-cycle Property Market and Evolving Business Models, the Global Real Estate Industry Remains Strong</w:t>
      </w:r>
    </w:p>
    <w:p w14:paraId="3976A628" w14:textId="77777777" w:rsidR="00E7795A" w:rsidRPr="00C530FE" w:rsidRDefault="00E7795A" w:rsidP="009C135A">
      <w:pPr>
        <w:spacing w:line="240" w:lineRule="auto"/>
        <w:jc w:val="center"/>
        <w:rPr>
          <w:rFonts w:ascii="Arial Narrow" w:hAnsi="Arial Narrow"/>
          <w:b/>
          <w:lang w:val="en-GB"/>
        </w:rPr>
      </w:pPr>
    </w:p>
    <w:p w14:paraId="17D131FD" w14:textId="09A4695C" w:rsidR="00FC3C93" w:rsidRDefault="00540B69" w:rsidP="009C135A">
      <w:pPr>
        <w:spacing w:line="240" w:lineRule="auto"/>
        <w:rPr>
          <w:rFonts w:ascii="Arial Narrow" w:hAnsi="Arial Narrow"/>
          <w:lang w:val="en-GB"/>
        </w:rPr>
      </w:pPr>
      <w:r w:rsidRPr="00C530FE">
        <w:rPr>
          <w:rFonts w:ascii="Arial Narrow" w:hAnsi="Arial Narrow"/>
          <w:lang w:val="en-GB"/>
        </w:rPr>
        <w:t xml:space="preserve">Despite </w:t>
      </w:r>
      <w:r w:rsidR="00481311" w:rsidRPr="00C530FE">
        <w:rPr>
          <w:rFonts w:ascii="Arial Narrow" w:hAnsi="Arial Narrow"/>
          <w:lang w:val="en-GB"/>
        </w:rPr>
        <w:t xml:space="preserve">being late in its cycle, the global real estate market </w:t>
      </w:r>
      <w:r w:rsidR="006473C5" w:rsidRPr="00C530FE">
        <w:rPr>
          <w:rFonts w:ascii="Arial Narrow" w:hAnsi="Arial Narrow"/>
          <w:lang w:val="en-GB"/>
        </w:rPr>
        <w:t>is benefiting</w:t>
      </w:r>
      <w:r w:rsidR="00481311" w:rsidRPr="00C530FE">
        <w:rPr>
          <w:rFonts w:ascii="Arial Narrow" w:hAnsi="Arial Narrow"/>
          <w:lang w:val="en-GB"/>
        </w:rPr>
        <w:t xml:space="preserve"> from </w:t>
      </w:r>
      <w:r w:rsidRPr="00C530FE">
        <w:rPr>
          <w:rFonts w:ascii="Arial Narrow" w:hAnsi="Arial Narrow"/>
          <w:lang w:val="en-GB"/>
        </w:rPr>
        <w:t xml:space="preserve">strong returns for investors and a positive global economic outlook, according to </w:t>
      </w:r>
      <w:r w:rsidRPr="00C530FE">
        <w:rPr>
          <w:rFonts w:ascii="Arial Narrow" w:hAnsi="Arial Narrow"/>
          <w:i/>
          <w:iCs/>
          <w:lang w:val="en-GB"/>
        </w:rPr>
        <w:t>Emerging Trends in Real Estate</w:t>
      </w:r>
      <w:r w:rsidRPr="00C530FE">
        <w:rPr>
          <w:rFonts w:ascii="Arial Narrow" w:hAnsi="Arial Narrow"/>
          <w:i/>
          <w:iCs/>
          <w:vertAlign w:val="superscript"/>
          <w:lang w:val="en-GB"/>
        </w:rPr>
        <w:t>®</w:t>
      </w:r>
      <w:r w:rsidRPr="00C530FE">
        <w:rPr>
          <w:rFonts w:ascii="Arial Narrow" w:hAnsi="Arial Narrow"/>
          <w:i/>
          <w:iCs/>
          <w:lang w:val="en-GB"/>
        </w:rPr>
        <w:t xml:space="preserve"> – The Global Outlook for 2018</w:t>
      </w:r>
      <w:r w:rsidRPr="00C530FE">
        <w:rPr>
          <w:rFonts w:ascii="Arial Narrow" w:hAnsi="Arial Narrow"/>
          <w:lang w:val="en-GB"/>
        </w:rPr>
        <w:t>, an annual forecast of global real estate investor sentiment published jointly by PwC and the Urban Land Institute (ULI).</w:t>
      </w:r>
      <w:r w:rsidR="004D01EC" w:rsidRPr="00C530FE">
        <w:rPr>
          <w:rFonts w:ascii="Arial Narrow" w:hAnsi="Arial Narrow"/>
          <w:lang w:val="en-GB"/>
        </w:rPr>
        <w:t xml:space="preserve"> </w:t>
      </w:r>
      <w:r w:rsidRPr="00C530FE">
        <w:rPr>
          <w:rFonts w:ascii="Arial Narrow" w:hAnsi="Arial Narrow"/>
          <w:lang w:val="en-GB"/>
        </w:rPr>
        <w:t xml:space="preserve">The report notes that </w:t>
      </w:r>
      <w:r w:rsidR="00481311" w:rsidRPr="00C530FE">
        <w:rPr>
          <w:rFonts w:ascii="Arial Narrow" w:hAnsi="Arial Narrow"/>
          <w:lang w:val="en-GB"/>
        </w:rPr>
        <w:t>in this highly competitive, late-cycle property market, the real estate industry must embrace technology, new business models, and the concept of “space as a service”.</w:t>
      </w:r>
    </w:p>
    <w:p w14:paraId="036A9730" w14:textId="1FFAF8F2" w:rsidR="00C530FE" w:rsidRPr="00C530FE" w:rsidRDefault="00C530FE" w:rsidP="009C135A">
      <w:pPr>
        <w:spacing w:line="240" w:lineRule="auto"/>
        <w:rPr>
          <w:rFonts w:ascii="Arial Narrow" w:hAnsi="Arial Narrow"/>
        </w:rPr>
      </w:pPr>
      <w:r w:rsidRPr="00C530FE">
        <w:rPr>
          <w:rFonts w:ascii="Arial Narrow" w:hAnsi="Arial Narrow"/>
        </w:rPr>
        <w:t>"Our conversations</w:t>
      </w:r>
      <w:r>
        <w:rPr>
          <w:rFonts w:ascii="Arial Narrow" w:hAnsi="Arial Narrow"/>
        </w:rPr>
        <w:t xml:space="preserve"> with industry leaders in this g</w:t>
      </w:r>
      <w:r w:rsidRPr="00C530FE">
        <w:rPr>
          <w:rFonts w:ascii="Arial Narrow" w:hAnsi="Arial Narrow"/>
        </w:rPr>
        <w:t xml:space="preserve">lobal </w:t>
      </w:r>
      <w:r w:rsidRPr="00C530FE">
        <w:rPr>
          <w:rFonts w:ascii="Arial Narrow" w:hAnsi="Arial Narrow"/>
          <w:i/>
        </w:rPr>
        <w:t xml:space="preserve">Emerging </w:t>
      </w:r>
      <w:r>
        <w:rPr>
          <w:rFonts w:ascii="Arial Narrow" w:hAnsi="Arial Narrow"/>
          <w:i/>
        </w:rPr>
        <w:t xml:space="preserve">Trends </w:t>
      </w:r>
      <w:r w:rsidRPr="00C530FE">
        <w:rPr>
          <w:rFonts w:ascii="Arial Narrow" w:hAnsi="Arial Narrow"/>
        </w:rPr>
        <w:t>report underline the fact that these are interesting and challenging times for the in</w:t>
      </w:r>
      <w:r>
        <w:rPr>
          <w:rFonts w:ascii="Arial Narrow" w:hAnsi="Arial Narrow"/>
        </w:rPr>
        <w:t>dustry,” said Gareth Lewis, Director, PwC Real Estate.</w:t>
      </w:r>
      <w:r w:rsidRPr="00C530FE">
        <w:rPr>
          <w:rFonts w:ascii="Arial Narrow" w:hAnsi="Arial Narrow"/>
        </w:rPr>
        <w:t xml:space="preserve"> </w:t>
      </w:r>
      <w:r>
        <w:rPr>
          <w:rFonts w:ascii="Arial Narrow" w:hAnsi="Arial Narrow"/>
        </w:rPr>
        <w:t>“</w:t>
      </w:r>
      <w:r w:rsidRPr="00C530FE">
        <w:rPr>
          <w:rFonts w:ascii="Arial Narrow" w:hAnsi="Arial Narrow"/>
        </w:rPr>
        <w:t>We're seeing a value-shift from the passive ‘bricks and morta</w:t>
      </w:r>
      <w:r>
        <w:rPr>
          <w:rFonts w:ascii="Arial Narrow" w:hAnsi="Arial Narrow"/>
        </w:rPr>
        <w:t xml:space="preserve">r’ component to a more dynamic, operational </w:t>
      </w:r>
      <w:r w:rsidRPr="00C530FE">
        <w:rPr>
          <w:rFonts w:ascii="Arial Narrow" w:hAnsi="Arial Narrow"/>
        </w:rPr>
        <w:t>business. This is important for investors – who on the one hand need to manage risk, but are also looking to find innovative and cost-effective ways of accessing operational expertise and innovation, or face diminishing returns."</w:t>
      </w:r>
    </w:p>
    <w:p w14:paraId="4F776823" w14:textId="3A6422B6" w:rsidR="007A0AD1" w:rsidRPr="00C530FE" w:rsidRDefault="0022237B" w:rsidP="009C135A">
      <w:pPr>
        <w:spacing w:line="240" w:lineRule="auto"/>
        <w:rPr>
          <w:rFonts w:ascii="Arial Narrow" w:hAnsi="Arial Narrow"/>
          <w:lang w:val="en-GB"/>
        </w:rPr>
      </w:pPr>
      <w:r w:rsidRPr="00C530FE">
        <w:rPr>
          <w:rFonts w:ascii="Arial Narrow" w:hAnsi="Arial Narrow"/>
          <w:lang w:val="en-GB"/>
        </w:rPr>
        <w:t>While the global business leaders interviewed</w:t>
      </w:r>
      <w:r w:rsidR="00CF6433" w:rsidRPr="00C530FE">
        <w:rPr>
          <w:rFonts w:ascii="Arial Narrow" w:hAnsi="Arial Narrow"/>
          <w:lang w:val="en-GB"/>
        </w:rPr>
        <w:t xml:space="preserve"> for the report</w:t>
      </w:r>
      <w:r w:rsidRPr="00C530FE">
        <w:rPr>
          <w:rFonts w:ascii="Arial Narrow" w:hAnsi="Arial Narrow"/>
          <w:lang w:val="en-GB"/>
        </w:rPr>
        <w:t xml:space="preserve"> </w:t>
      </w:r>
      <w:r w:rsidR="007B26F1" w:rsidRPr="00C530FE">
        <w:rPr>
          <w:rFonts w:ascii="Arial Narrow" w:hAnsi="Arial Narrow"/>
          <w:lang w:val="en-GB"/>
        </w:rPr>
        <w:t>agreed</w:t>
      </w:r>
      <w:r w:rsidRPr="00C530FE">
        <w:rPr>
          <w:rFonts w:ascii="Arial Narrow" w:hAnsi="Arial Narrow"/>
          <w:lang w:val="en-GB"/>
        </w:rPr>
        <w:t xml:space="preserve"> that </w:t>
      </w:r>
      <w:r w:rsidR="003319EC" w:rsidRPr="00C530FE">
        <w:rPr>
          <w:rFonts w:ascii="Arial Narrow" w:hAnsi="Arial Narrow"/>
          <w:lang w:val="en-GB"/>
        </w:rPr>
        <w:t xml:space="preserve">real estate is late in its cycle, </w:t>
      </w:r>
      <w:r w:rsidRPr="00C530FE">
        <w:rPr>
          <w:rFonts w:ascii="Arial Narrow" w:hAnsi="Arial Narrow"/>
          <w:lang w:val="en-GB"/>
        </w:rPr>
        <w:t xml:space="preserve">many </w:t>
      </w:r>
      <w:r w:rsidR="005476AE" w:rsidRPr="00C530FE">
        <w:rPr>
          <w:rFonts w:ascii="Arial Narrow" w:hAnsi="Arial Narrow"/>
          <w:lang w:val="en-GB"/>
        </w:rPr>
        <w:t xml:space="preserve">of them </w:t>
      </w:r>
      <w:r w:rsidRPr="00C530FE">
        <w:rPr>
          <w:rFonts w:ascii="Arial Narrow" w:hAnsi="Arial Narrow"/>
          <w:lang w:val="en-GB"/>
        </w:rPr>
        <w:t>suggested</w:t>
      </w:r>
      <w:r w:rsidR="003319EC" w:rsidRPr="00C530FE">
        <w:rPr>
          <w:rFonts w:ascii="Arial Narrow" w:hAnsi="Arial Narrow"/>
          <w:lang w:val="en-GB"/>
        </w:rPr>
        <w:t xml:space="preserve"> that the relatively strong global economic outlook and resulting occupier demand might </w:t>
      </w:r>
      <w:r w:rsidR="00A63776" w:rsidRPr="00C530FE">
        <w:rPr>
          <w:rFonts w:ascii="Arial Narrow" w:hAnsi="Arial Narrow"/>
          <w:lang w:val="en-GB"/>
        </w:rPr>
        <w:t>prolong the cycle</w:t>
      </w:r>
      <w:r w:rsidR="003319EC" w:rsidRPr="00C530FE">
        <w:rPr>
          <w:rFonts w:ascii="Arial Narrow" w:hAnsi="Arial Narrow"/>
          <w:lang w:val="en-GB"/>
        </w:rPr>
        <w:t>.</w:t>
      </w:r>
      <w:r w:rsidR="004D01EC" w:rsidRPr="00C530FE">
        <w:rPr>
          <w:rFonts w:ascii="Arial Narrow" w:hAnsi="Arial Narrow"/>
          <w:lang w:val="en-GB"/>
        </w:rPr>
        <w:t xml:space="preserve"> </w:t>
      </w:r>
      <w:r w:rsidR="00FA3EDD" w:rsidRPr="00C530FE">
        <w:rPr>
          <w:rFonts w:ascii="Arial Narrow" w:hAnsi="Arial Narrow"/>
          <w:lang w:val="en-GB"/>
        </w:rPr>
        <w:t xml:space="preserve">An increase in transactions </w:t>
      </w:r>
      <w:r w:rsidR="003319EC" w:rsidRPr="00C530FE">
        <w:rPr>
          <w:rFonts w:ascii="Arial Narrow" w:hAnsi="Arial Narrow"/>
          <w:lang w:val="en-GB"/>
        </w:rPr>
        <w:t>in Europe and record levels of activity in Asian markets—such as Hong Kong and Singapore—</w:t>
      </w:r>
      <w:r w:rsidR="0050695C" w:rsidRPr="00C530FE">
        <w:rPr>
          <w:rFonts w:ascii="Arial Narrow" w:hAnsi="Arial Narrow"/>
          <w:lang w:val="en-GB"/>
        </w:rPr>
        <w:t>support this idea</w:t>
      </w:r>
      <w:r w:rsidR="003319EC" w:rsidRPr="00C530FE">
        <w:rPr>
          <w:rFonts w:ascii="Arial Narrow" w:hAnsi="Arial Narrow"/>
          <w:lang w:val="en-GB"/>
        </w:rPr>
        <w:t>.</w:t>
      </w:r>
      <w:r w:rsidR="004D01EC" w:rsidRPr="00C530FE">
        <w:rPr>
          <w:rFonts w:ascii="Arial Narrow" w:hAnsi="Arial Narrow"/>
          <w:lang w:val="en-GB"/>
        </w:rPr>
        <w:t xml:space="preserve"> </w:t>
      </w:r>
      <w:r w:rsidR="003319EC" w:rsidRPr="00C530FE">
        <w:rPr>
          <w:rFonts w:ascii="Arial Narrow" w:hAnsi="Arial Narrow"/>
          <w:lang w:val="en-GB"/>
        </w:rPr>
        <w:t>At the same time, pricing of core assets remains a challenge,</w:t>
      </w:r>
      <w:r w:rsidR="00B2777F" w:rsidRPr="00C530FE">
        <w:rPr>
          <w:rFonts w:ascii="Arial Narrow" w:hAnsi="Arial Narrow"/>
          <w:lang w:val="en-GB"/>
        </w:rPr>
        <w:t xml:space="preserve"> which—combined with a </w:t>
      </w:r>
      <w:r w:rsidR="00010DCE" w:rsidRPr="00C530FE">
        <w:rPr>
          <w:rFonts w:ascii="Arial Narrow" w:hAnsi="Arial Narrow"/>
          <w:lang w:val="en-GB"/>
        </w:rPr>
        <w:t xml:space="preserve">greater </w:t>
      </w:r>
      <w:r w:rsidR="00B2777F" w:rsidRPr="00C530FE">
        <w:rPr>
          <w:rFonts w:ascii="Arial Narrow" w:hAnsi="Arial Narrow"/>
          <w:lang w:val="en-GB"/>
        </w:rPr>
        <w:t xml:space="preserve">focus on economic strength, placemaking, and liveability—is </w:t>
      </w:r>
      <w:r w:rsidR="003319EC" w:rsidRPr="00C530FE">
        <w:rPr>
          <w:rFonts w:ascii="Arial Narrow" w:hAnsi="Arial Narrow"/>
          <w:lang w:val="en-GB"/>
        </w:rPr>
        <w:t>driving investors to alternative sectors</w:t>
      </w:r>
      <w:r w:rsidR="00BF401B" w:rsidRPr="00C530FE">
        <w:rPr>
          <w:rFonts w:ascii="Arial Narrow" w:hAnsi="Arial Narrow"/>
          <w:lang w:val="en-GB"/>
        </w:rPr>
        <w:t>, such as logistics,</w:t>
      </w:r>
      <w:r w:rsidR="003319EC" w:rsidRPr="00C530FE">
        <w:rPr>
          <w:rFonts w:ascii="Arial Narrow" w:hAnsi="Arial Narrow"/>
          <w:lang w:val="en-GB"/>
        </w:rPr>
        <w:t xml:space="preserve"> and </w:t>
      </w:r>
      <w:r w:rsidR="00FA3EDD" w:rsidRPr="00C530FE">
        <w:rPr>
          <w:rFonts w:ascii="Arial Narrow" w:hAnsi="Arial Narrow"/>
          <w:lang w:val="en-GB"/>
        </w:rPr>
        <w:t xml:space="preserve">to </w:t>
      </w:r>
      <w:r w:rsidR="003319EC" w:rsidRPr="00C530FE">
        <w:rPr>
          <w:rFonts w:ascii="Arial Narrow" w:hAnsi="Arial Narrow"/>
          <w:lang w:val="en-GB"/>
        </w:rPr>
        <w:t xml:space="preserve">second-tier cities, such as Copenhagen </w:t>
      </w:r>
      <w:r w:rsidR="00FA3EDD" w:rsidRPr="00C530FE">
        <w:rPr>
          <w:rFonts w:ascii="Arial Narrow" w:hAnsi="Arial Narrow"/>
          <w:lang w:val="en-GB"/>
        </w:rPr>
        <w:t xml:space="preserve">in Europe </w:t>
      </w:r>
      <w:r w:rsidR="003319EC" w:rsidRPr="00C530FE">
        <w:rPr>
          <w:rFonts w:ascii="Arial Narrow" w:hAnsi="Arial Narrow"/>
          <w:lang w:val="en-GB"/>
        </w:rPr>
        <w:t>and Raleigh/Durham</w:t>
      </w:r>
      <w:r w:rsidR="00FA3EDD" w:rsidRPr="00C530FE">
        <w:rPr>
          <w:rFonts w:ascii="Arial Narrow" w:hAnsi="Arial Narrow"/>
          <w:lang w:val="en-GB"/>
        </w:rPr>
        <w:t xml:space="preserve"> in the United States</w:t>
      </w:r>
      <w:r w:rsidR="003319EC" w:rsidRPr="00C530FE">
        <w:rPr>
          <w:rFonts w:ascii="Arial Narrow" w:hAnsi="Arial Narrow"/>
          <w:lang w:val="en-GB"/>
        </w:rPr>
        <w:t xml:space="preserve">. </w:t>
      </w:r>
      <w:r w:rsidR="008C289B" w:rsidRPr="00C530FE">
        <w:rPr>
          <w:rFonts w:ascii="Arial Narrow" w:hAnsi="Arial Narrow"/>
          <w:lang w:val="en-GB"/>
        </w:rPr>
        <w:t xml:space="preserve">Rising interest rates and inflation are </w:t>
      </w:r>
      <w:r w:rsidR="006473C5" w:rsidRPr="00C530FE">
        <w:rPr>
          <w:rFonts w:ascii="Arial Narrow" w:hAnsi="Arial Narrow"/>
          <w:lang w:val="en-GB"/>
        </w:rPr>
        <w:t xml:space="preserve">also </w:t>
      </w:r>
      <w:r w:rsidR="008C289B" w:rsidRPr="00C530FE">
        <w:rPr>
          <w:rFonts w:ascii="Arial Narrow" w:hAnsi="Arial Narrow"/>
          <w:lang w:val="en-GB"/>
        </w:rPr>
        <w:t>expected to exert pressure on the industry, particularly in the U.S. and Europe.</w:t>
      </w:r>
      <w:r w:rsidR="006473C5" w:rsidRPr="00C530FE">
        <w:rPr>
          <w:rFonts w:ascii="Arial Narrow" w:hAnsi="Arial Narrow"/>
          <w:lang w:val="en-GB"/>
        </w:rPr>
        <w:t xml:space="preserve"> According to the interviewees, the risk of rising interest rates is much higher now than it was six months ago. </w:t>
      </w:r>
      <w:r w:rsidR="008C289B" w:rsidRPr="00C530FE">
        <w:rPr>
          <w:rFonts w:ascii="Arial Narrow" w:hAnsi="Arial Narrow"/>
          <w:lang w:val="en-GB"/>
        </w:rPr>
        <w:t xml:space="preserve"> </w:t>
      </w:r>
    </w:p>
    <w:p w14:paraId="32E2ED85" w14:textId="77777777" w:rsidR="009B4CC5" w:rsidRPr="00C530FE" w:rsidRDefault="007D66F6" w:rsidP="009C135A">
      <w:pPr>
        <w:spacing w:line="240" w:lineRule="auto"/>
        <w:rPr>
          <w:rFonts w:ascii="Arial Narrow" w:hAnsi="Arial Narrow"/>
          <w:lang w:val="en-GB"/>
        </w:rPr>
      </w:pPr>
      <w:r w:rsidRPr="00C530FE">
        <w:rPr>
          <w:rFonts w:ascii="Arial Narrow" w:hAnsi="Arial Narrow"/>
          <w:lang w:val="en-GB"/>
        </w:rPr>
        <w:t xml:space="preserve">The report’s findings highlight the growing disconnect between the ease of raising </w:t>
      </w:r>
      <w:r w:rsidR="00C447EF" w:rsidRPr="00C530FE">
        <w:rPr>
          <w:rFonts w:ascii="Arial Narrow" w:hAnsi="Arial Narrow"/>
          <w:lang w:val="en-GB"/>
        </w:rPr>
        <w:t>abundant</w:t>
      </w:r>
      <w:r w:rsidRPr="00C530FE">
        <w:rPr>
          <w:rFonts w:ascii="Arial Narrow" w:hAnsi="Arial Narrow"/>
          <w:lang w:val="en-GB"/>
        </w:rPr>
        <w:t xml:space="preserve"> capital and the relative difficulty of deploying </w:t>
      </w:r>
      <w:r w:rsidR="00E26797" w:rsidRPr="00C530FE">
        <w:rPr>
          <w:rFonts w:ascii="Arial Narrow" w:hAnsi="Arial Narrow"/>
          <w:lang w:val="en-GB"/>
        </w:rPr>
        <w:t>the</w:t>
      </w:r>
      <w:r w:rsidR="00A95F78" w:rsidRPr="00C530FE">
        <w:rPr>
          <w:rFonts w:ascii="Arial Narrow" w:hAnsi="Arial Narrow"/>
          <w:lang w:val="en-GB"/>
        </w:rPr>
        <w:t xml:space="preserve"> </w:t>
      </w:r>
      <w:r w:rsidRPr="00C530FE">
        <w:rPr>
          <w:rFonts w:ascii="Arial Narrow" w:hAnsi="Arial Narrow"/>
          <w:lang w:val="en-GB"/>
        </w:rPr>
        <w:t>capital effectively.</w:t>
      </w:r>
      <w:r w:rsidR="004D01EC" w:rsidRPr="00C530FE">
        <w:rPr>
          <w:rFonts w:ascii="Arial Narrow" w:hAnsi="Arial Narrow"/>
          <w:lang w:val="en-GB"/>
        </w:rPr>
        <w:t xml:space="preserve"> </w:t>
      </w:r>
      <w:r w:rsidR="00A95F78" w:rsidRPr="00C530FE">
        <w:rPr>
          <w:rFonts w:ascii="Arial Narrow" w:hAnsi="Arial Narrow"/>
          <w:lang w:val="en-GB"/>
        </w:rPr>
        <w:t xml:space="preserve">This phenomenon is particularly </w:t>
      </w:r>
      <w:r w:rsidR="005E1A23" w:rsidRPr="00C530FE">
        <w:rPr>
          <w:rFonts w:ascii="Arial Narrow" w:hAnsi="Arial Narrow"/>
          <w:lang w:val="en-GB"/>
        </w:rPr>
        <w:t xml:space="preserve">strong in Asia, where local sovereign and institutional funds bearing stockpiles of accumulated cash are buying property—both regionally and globally—creating </w:t>
      </w:r>
      <w:r w:rsidR="00AD72DA" w:rsidRPr="00C530FE">
        <w:rPr>
          <w:rFonts w:ascii="Arial Narrow" w:hAnsi="Arial Narrow"/>
          <w:lang w:val="en-GB"/>
        </w:rPr>
        <w:t>increased competition for assets.</w:t>
      </w:r>
      <w:r w:rsidR="004D01EC" w:rsidRPr="00C530FE">
        <w:rPr>
          <w:rFonts w:ascii="Arial Narrow" w:hAnsi="Arial Narrow"/>
          <w:lang w:val="en-GB"/>
        </w:rPr>
        <w:t xml:space="preserve"> </w:t>
      </w:r>
      <w:r w:rsidR="00B67329" w:rsidRPr="00C530FE">
        <w:rPr>
          <w:rFonts w:ascii="Arial Narrow" w:hAnsi="Arial Narrow"/>
          <w:lang w:val="en-GB"/>
        </w:rPr>
        <w:t>Because of</w:t>
      </w:r>
      <w:r w:rsidR="00AD72DA" w:rsidRPr="00C530FE">
        <w:rPr>
          <w:rFonts w:ascii="Arial Narrow" w:hAnsi="Arial Narrow"/>
          <w:lang w:val="en-GB"/>
        </w:rPr>
        <w:t xml:space="preserve"> this competition, traditional risk/return classifications are breaking down and </w:t>
      </w:r>
      <w:r w:rsidR="00F2428E" w:rsidRPr="00C530FE">
        <w:rPr>
          <w:rFonts w:ascii="Arial Narrow" w:hAnsi="Arial Narrow"/>
          <w:lang w:val="en-GB"/>
        </w:rPr>
        <w:t>core and opportunistic investors are converging in the value-add space.</w:t>
      </w:r>
      <w:r w:rsidR="004D01EC" w:rsidRPr="00C530FE">
        <w:rPr>
          <w:rFonts w:ascii="Arial Narrow" w:hAnsi="Arial Narrow"/>
          <w:lang w:val="en-GB"/>
        </w:rPr>
        <w:t xml:space="preserve"> </w:t>
      </w:r>
    </w:p>
    <w:p w14:paraId="46BEC2E2" w14:textId="77777777" w:rsidR="00FA3EDD" w:rsidRPr="00C530FE" w:rsidRDefault="00E96A7D" w:rsidP="009C135A">
      <w:pPr>
        <w:spacing w:after="0" w:line="240" w:lineRule="auto"/>
        <w:rPr>
          <w:rFonts w:ascii="Arial Narrow" w:hAnsi="Arial Narrow"/>
          <w:lang w:val="en-GB"/>
        </w:rPr>
      </w:pPr>
      <w:r w:rsidRPr="00C530FE">
        <w:rPr>
          <w:rFonts w:ascii="Arial Narrow" w:hAnsi="Arial Narrow"/>
          <w:lang w:val="en-GB"/>
        </w:rPr>
        <w:t>The</w:t>
      </w:r>
      <w:r w:rsidR="00246708" w:rsidRPr="00C530FE">
        <w:rPr>
          <w:rFonts w:ascii="Arial Narrow" w:hAnsi="Arial Narrow"/>
          <w:lang w:val="en-GB"/>
        </w:rPr>
        <w:t xml:space="preserve"> </w:t>
      </w:r>
      <w:r w:rsidR="007A0AD1" w:rsidRPr="00C530FE">
        <w:rPr>
          <w:rFonts w:ascii="Arial Narrow" w:hAnsi="Arial Narrow"/>
          <w:lang w:val="en-GB"/>
        </w:rPr>
        <w:t>late-cycle market and widespread difficulties sourcing deals and deploying capital have led to a wave of consolidation among property-owning companies</w:t>
      </w:r>
      <w:r w:rsidR="00DD223F" w:rsidRPr="00C530FE">
        <w:rPr>
          <w:rFonts w:ascii="Arial Narrow" w:hAnsi="Arial Narrow"/>
          <w:lang w:val="en-GB"/>
        </w:rPr>
        <w:t xml:space="preserve"> and </w:t>
      </w:r>
      <w:r w:rsidR="00F473EB" w:rsidRPr="00C530FE">
        <w:rPr>
          <w:rFonts w:ascii="Arial Narrow" w:hAnsi="Arial Narrow"/>
          <w:lang w:val="en-GB"/>
        </w:rPr>
        <w:t>fund</w:t>
      </w:r>
      <w:r w:rsidR="00DD223F" w:rsidRPr="00C530FE">
        <w:rPr>
          <w:rFonts w:ascii="Arial Narrow" w:hAnsi="Arial Narrow"/>
          <w:lang w:val="en-GB"/>
        </w:rPr>
        <w:t xml:space="preserve"> managers</w:t>
      </w:r>
      <w:r w:rsidRPr="00C530FE">
        <w:rPr>
          <w:rFonts w:ascii="Arial Narrow" w:hAnsi="Arial Narrow"/>
          <w:lang w:val="en-GB"/>
        </w:rPr>
        <w:t>, according to the report</w:t>
      </w:r>
      <w:r w:rsidR="00246708" w:rsidRPr="00C530FE">
        <w:rPr>
          <w:rFonts w:ascii="Arial Narrow" w:hAnsi="Arial Narrow"/>
          <w:lang w:val="en-GB"/>
        </w:rPr>
        <w:t>.</w:t>
      </w:r>
      <w:r w:rsidR="007A0AD1" w:rsidRPr="00C530FE">
        <w:rPr>
          <w:rFonts w:ascii="Arial Narrow" w:hAnsi="Arial Narrow"/>
          <w:lang w:val="en-GB"/>
        </w:rPr>
        <w:t xml:space="preserve"> </w:t>
      </w:r>
      <w:r w:rsidR="00670AE3" w:rsidRPr="00C530FE">
        <w:rPr>
          <w:rFonts w:ascii="Arial Narrow" w:hAnsi="Arial Narrow"/>
          <w:lang w:val="en-GB"/>
        </w:rPr>
        <w:t>The report argues that i</w:t>
      </w:r>
      <w:r w:rsidR="00FA3EDD" w:rsidRPr="00C530FE">
        <w:rPr>
          <w:rFonts w:ascii="Arial Narrow" w:hAnsi="Arial Narrow"/>
          <w:lang w:val="en-GB"/>
        </w:rPr>
        <w:t xml:space="preserve">n this environment, </w:t>
      </w:r>
      <w:r w:rsidR="00C61AB1" w:rsidRPr="00C530FE">
        <w:rPr>
          <w:rFonts w:ascii="Arial Narrow" w:hAnsi="Arial Narrow"/>
          <w:lang w:val="en-GB"/>
        </w:rPr>
        <w:t>real</w:t>
      </w:r>
      <w:r w:rsidR="00DD2DB3" w:rsidRPr="00C530FE">
        <w:rPr>
          <w:rFonts w:ascii="Arial Narrow" w:hAnsi="Arial Narrow"/>
          <w:lang w:val="en-GB"/>
        </w:rPr>
        <w:t xml:space="preserve"> estate companies must embrace new business models in order to </w:t>
      </w:r>
      <w:r w:rsidR="00670AE3" w:rsidRPr="00C530FE">
        <w:rPr>
          <w:rFonts w:ascii="Arial Narrow" w:hAnsi="Arial Narrow"/>
          <w:lang w:val="en-GB"/>
        </w:rPr>
        <w:t xml:space="preserve">raise and make money. </w:t>
      </w:r>
      <w:r w:rsidR="00FA3EDD" w:rsidRPr="00C530FE">
        <w:rPr>
          <w:rFonts w:ascii="Arial Narrow" w:hAnsi="Arial Narrow"/>
          <w:lang w:val="en-GB"/>
        </w:rPr>
        <w:t>It</w:t>
      </w:r>
      <w:r w:rsidR="0051348F" w:rsidRPr="00C530FE">
        <w:rPr>
          <w:rFonts w:ascii="Arial Narrow" w:hAnsi="Arial Narrow"/>
          <w:lang w:val="en-GB"/>
        </w:rPr>
        <w:t xml:space="preserve"> points </w:t>
      </w:r>
      <w:r w:rsidR="00FA3EDD" w:rsidRPr="00C530FE">
        <w:rPr>
          <w:rFonts w:ascii="Arial Narrow" w:hAnsi="Arial Narrow"/>
          <w:lang w:val="en-GB"/>
        </w:rPr>
        <w:t>to</w:t>
      </w:r>
      <w:r w:rsidR="0051348F" w:rsidRPr="00C530FE">
        <w:rPr>
          <w:rFonts w:ascii="Arial Narrow" w:hAnsi="Arial Narrow"/>
          <w:lang w:val="en-GB"/>
        </w:rPr>
        <w:t xml:space="preserve"> the increasing complexity of how the real estate industry conducts business, brought on by new customer demands and the concept of “space as a service”.</w:t>
      </w:r>
      <w:r w:rsidR="004D01EC" w:rsidRPr="00C530FE">
        <w:rPr>
          <w:rFonts w:ascii="Arial Narrow" w:hAnsi="Arial Narrow"/>
          <w:lang w:val="en-GB"/>
        </w:rPr>
        <w:t xml:space="preserve"> </w:t>
      </w:r>
      <w:r w:rsidR="002105A3" w:rsidRPr="00C530FE">
        <w:rPr>
          <w:rFonts w:ascii="Arial Narrow" w:hAnsi="Arial Narrow"/>
          <w:lang w:val="en-GB"/>
        </w:rPr>
        <w:t xml:space="preserve">Because of this seismic shift in the industry, </w:t>
      </w:r>
      <w:r w:rsidR="0051348F" w:rsidRPr="00C530FE">
        <w:rPr>
          <w:rFonts w:ascii="Arial Narrow" w:hAnsi="Arial Narrow"/>
          <w:lang w:val="en-GB"/>
        </w:rPr>
        <w:t>real estate companies will require new skill</w:t>
      </w:r>
      <w:r w:rsidR="00FA3EDD" w:rsidRPr="00C530FE">
        <w:rPr>
          <w:rFonts w:ascii="Arial Narrow" w:hAnsi="Arial Narrow"/>
          <w:lang w:val="en-GB"/>
        </w:rPr>
        <w:t xml:space="preserve"> </w:t>
      </w:r>
      <w:r w:rsidR="0051348F" w:rsidRPr="00C530FE">
        <w:rPr>
          <w:rFonts w:ascii="Arial Narrow" w:hAnsi="Arial Narrow"/>
          <w:lang w:val="en-GB"/>
        </w:rPr>
        <w:t>sets t</w:t>
      </w:r>
      <w:r w:rsidR="002105A3" w:rsidRPr="00C530FE">
        <w:rPr>
          <w:rFonts w:ascii="Arial Narrow" w:hAnsi="Arial Narrow"/>
          <w:lang w:val="en-GB"/>
        </w:rPr>
        <w:t xml:space="preserve">o harness big data and </w:t>
      </w:r>
      <w:r w:rsidR="0051348F" w:rsidRPr="00C530FE">
        <w:rPr>
          <w:rFonts w:ascii="Arial Narrow" w:hAnsi="Arial Narrow"/>
          <w:lang w:val="en-GB"/>
        </w:rPr>
        <w:t>technology to improve decision making, management, and valuation processes.</w:t>
      </w:r>
    </w:p>
    <w:p w14:paraId="1F474174" w14:textId="77777777" w:rsidR="009C135A" w:rsidRPr="00C530FE" w:rsidRDefault="009C135A" w:rsidP="009C135A">
      <w:pPr>
        <w:spacing w:after="0" w:line="240" w:lineRule="auto"/>
        <w:rPr>
          <w:rFonts w:ascii="Arial Narrow" w:hAnsi="Arial Narrow"/>
          <w:lang w:val="en-GB"/>
        </w:rPr>
      </w:pPr>
    </w:p>
    <w:p w14:paraId="0BA6C175" w14:textId="4FBABC8C" w:rsidR="004F440C" w:rsidRPr="00C530FE" w:rsidRDefault="005C3565" w:rsidP="009C135A">
      <w:pPr>
        <w:spacing w:line="240" w:lineRule="auto"/>
        <w:rPr>
          <w:rFonts w:ascii="Arial Narrow" w:hAnsi="Arial Narrow"/>
          <w:lang w:val="en-GB"/>
        </w:rPr>
      </w:pPr>
      <w:r w:rsidRPr="00C530FE">
        <w:rPr>
          <w:rFonts w:ascii="Arial Narrow" w:hAnsi="Arial Narrow"/>
          <w:lang w:val="en-GB"/>
        </w:rPr>
        <w:t>“This report demonstrates that we are at a crucial point in the evolution of real estate,” said Lisette van Doorn, Chief Executive, ULI Europe. “</w:t>
      </w:r>
      <w:r w:rsidR="006B750F" w:rsidRPr="00C530FE">
        <w:rPr>
          <w:rFonts w:ascii="Arial Narrow" w:hAnsi="Arial Narrow"/>
          <w:lang w:val="en-GB"/>
        </w:rPr>
        <w:t xml:space="preserve">Lately, we have been seeing more and more investors, operators, and developers moving </w:t>
      </w:r>
      <w:r w:rsidR="006B750F" w:rsidRPr="00C530FE">
        <w:rPr>
          <w:rFonts w:ascii="Arial Narrow" w:hAnsi="Arial Narrow"/>
          <w:lang w:val="en-GB"/>
        </w:rPr>
        <w:lastRenderedPageBreak/>
        <w:t xml:space="preserve">into the </w:t>
      </w:r>
      <w:proofErr w:type="spellStart"/>
      <w:r w:rsidR="006B750F" w:rsidRPr="00C530FE">
        <w:rPr>
          <w:rFonts w:ascii="Arial Narrow" w:hAnsi="Arial Narrow"/>
          <w:lang w:val="en-GB"/>
        </w:rPr>
        <w:t>PropTech</w:t>
      </w:r>
      <w:proofErr w:type="spellEnd"/>
      <w:r w:rsidR="006B750F" w:rsidRPr="00C530FE">
        <w:rPr>
          <w:rFonts w:ascii="Arial Narrow" w:hAnsi="Arial Narrow"/>
          <w:lang w:val="en-GB"/>
        </w:rPr>
        <w:t xml:space="preserve"> space: from partnerships on real estate projects to investments in </w:t>
      </w:r>
      <w:proofErr w:type="spellStart"/>
      <w:r w:rsidR="006B750F" w:rsidRPr="00C530FE">
        <w:rPr>
          <w:rFonts w:ascii="Arial Narrow" w:hAnsi="Arial Narrow"/>
          <w:lang w:val="en-GB"/>
        </w:rPr>
        <w:t>PropTech</w:t>
      </w:r>
      <w:proofErr w:type="spellEnd"/>
      <w:r w:rsidR="006B750F" w:rsidRPr="00C530FE">
        <w:rPr>
          <w:rFonts w:ascii="Arial Narrow" w:hAnsi="Arial Narrow"/>
          <w:lang w:val="en-GB"/>
        </w:rPr>
        <w:t xml:space="preserve"> firms.  </w:t>
      </w:r>
      <w:r w:rsidR="00021433" w:rsidRPr="00C530FE">
        <w:rPr>
          <w:rFonts w:ascii="Arial Narrow" w:hAnsi="Arial Narrow"/>
          <w:lang w:val="en-GB"/>
        </w:rPr>
        <w:t>Real estate companies must embrace change</w:t>
      </w:r>
      <w:r w:rsidR="00F4215B" w:rsidRPr="00C530FE">
        <w:rPr>
          <w:rFonts w:ascii="Arial Narrow" w:hAnsi="Arial Narrow"/>
          <w:lang w:val="en-GB"/>
        </w:rPr>
        <w:t xml:space="preserve"> and</w:t>
      </w:r>
      <w:r w:rsidR="00021433" w:rsidRPr="00C530FE">
        <w:rPr>
          <w:rFonts w:ascii="Arial Narrow" w:hAnsi="Arial Narrow"/>
          <w:lang w:val="en-GB"/>
        </w:rPr>
        <w:t xml:space="preserve"> become </w:t>
      </w:r>
      <w:r w:rsidR="00C530FE">
        <w:rPr>
          <w:rFonts w:ascii="Arial Narrow" w:hAnsi="Arial Narrow"/>
          <w:lang w:val="en-GB"/>
        </w:rPr>
        <w:t>more sophisticated and client-focused</w:t>
      </w:r>
      <w:r w:rsidR="00021433" w:rsidRPr="00C530FE">
        <w:rPr>
          <w:rFonts w:ascii="Arial Narrow" w:hAnsi="Arial Narrow"/>
          <w:lang w:val="en-GB"/>
        </w:rPr>
        <w:t xml:space="preserve"> </w:t>
      </w:r>
      <w:r w:rsidR="00FA3EDD" w:rsidRPr="00C530FE">
        <w:rPr>
          <w:rFonts w:ascii="Arial Narrow" w:hAnsi="Arial Narrow"/>
          <w:lang w:val="en-GB"/>
        </w:rPr>
        <w:t xml:space="preserve">to </w:t>
      </w:r>
      <w:r w:rsidR="00021433" w:rsidRPr="00C530FE">
        <w:rPr>
          <w:rFonts w:ascii="Arial Narrow" w:hAnsi="Arial Narrow"/>
          <w:lang w:val="en-GB"/>
        </w:rPr>
        <w:t xml:space="preserve">compete </w:t>
      </w:r>
      <w:r w:rsidR="00F4215B" w:rsidRPr="00C530FE">
        <w:rPr>
          <w:rFonts w:ascii="Arial Narrow" w:hAnsi="Arial Narrow"/>
          <w:lang w:val="en-GB"/>
        </w:rPr>
        <w:t>effectively.</w:t>
      </w:r>
      <w:r w:rsidR="004D01EC" w:rsidRPr="00C530FE">
        <w:rPr>
          <w:rFonts w:ascii="Arial Narrow" w:hAnsi="Arial Narrow"/>
          <w:lang w:val="en-GB"/>
        </w:rPr>
        <w:t xml:space="preserve"> </w:t>
      </w:r>
      <w:r w:rsidR="00F4215B" w:rsidRPr="00C530FE">
        <w:rPr>
          <w:rFonts w:ascii="Arial Narrow" w:hAnsi="Arial Narrow"/>
          <w:lang w:val="en-GB"/>
        </w:rPr>
        <w:t xml:space="preserve">The companies that are unable to leverage new technologies and </w:t>
      </w:r>
      <w:r w:rsidR="008A5E1F" w:rsidRPr="00C530FE">
        <w:rPr>
          <w:rFonts w:ascii="Arial Narrow" w:hAnsi="Arial Narrow"/>
          <w:lang w:val="en-GB"/>
        </w:rPr>
        <w:t>adjust their</w:t>
      </w:r>
      <w:r w:rsidR="00F4215B" w:rsidRPr="00C530FE">
        <w:rPr>
          <w:rFonts w:ascii="Arial Narrow" w:hAnsi="Arial Narrow"/>
          <w:lang w:val="en-GB"/>
        </w:rPr>
        <w:t xml:space="preserve"> </w:t>
      </w:r>
      <w:r w:rsidR="00950166" w:rsidRPr="00C530FE">
        <w:rPr>
          <w:rFonts w:ascii="Arial Narrow" w:hAnsi="Arial Narrow"/>
          <w:lang w:val="en-GB"/>
        </w:rPr>
        <w:t>business models</w:t>
      </w:r>
      <w:r w:rsidR="00F4215B" w:rsidRPr="00C530FE">
        <w:rPr>
          <w:rFonts w:ascii="Arial Narrow" w:hAnsi="Arial Narrow"/>
          <w:lang w:val="en-GB"/>
        </w:rPr>
        <w:t xml:space="preserve"> </w:t>
      </w:r>
      <w:r w:rsidR="002105A3" w:rsidRPr="00C530FE">
        <w:rPr>
          <w:rFonts w:ascii="Arial Narrow" w:hAnsi="Arial Narrow"/>
          <w:lang w:val="en-GB"/>
        </w:rPr>
        <w:t>risk being</w:t>
      </w:r>
      <w:r w:rsidR="00F4215B" w:rsidRPr="00C530FE">
        <w:rPr>
          <w:rFonts w:ascii="Arial Narrow" w:hAnsi="Arial Narrow"/>
          <w:lang w:val="en-GB"/>
        </w:rPr>
        <w:t xml:space="preserve"> left behind.”</w:t>
      </w:r>
    </w:p>
    <w:p w14:paraId="31ED5748" w14:textId="77777777" w:rsidR="009C135A" w:rsidRPr="00C530FE" w:rsidRDefault="009C135A" w:rsidP="009C135A">
      <w:pPr>
        <w:spacing w:line="240" w:lineRule="auto"/>
        <w:rPr>
          <w:rFonts w:ascii="Arial Narrow" w:hAnsi="Arial Narrow"/>
          <w:lang w:val="en-GB"/>
        </w:rPr>
      </w:pPr>
      <w:r w:rsidRPr="00C530FE">
        <w:rPr>
          <w:rFonts w:ascii="Arial Narrow" w:hAnsi="Arial Narrow"/>
          <w:lang w:val="en-GB"/>
        </w:rPr>
        <w:t xml:space="preserve">The report includes a </w:t>
      </w:r>
      <w:r w:rsidR="00137BDC" w:rsidRPr="00C530FE">
        <w:rPr>
          <w:rFonts w:ascii="Arial Narrow" w:hAnsi="Arial Narrow"/>
          <w:lang w:val="en-GB"/>
        </w:rPr>
        <w:t xml:space="preserve">look at factors specific to Asia, Europe, and the United States </w:t>
      </w:r>
      <w:r w:rsidRPr="00C530FE">
        <w:rPr>
          <w:rFonts w:ascii="Arial Narrow" w:hAnsi="Arial Narrow"/>
          <w:lang w:val="en-GB"/>
        </w:rPr>
        <w:t xml:space="preserve">that have global ramifications: </w:t>
      </w:r>
    </w:p>
    <w:p w14:paraId="793A30D5" w14:textId="4569A36D" w:rsidR="00137BDC" w:rsidRPr="00C530FE" w:rsidRDefault="00137BDC" w:rsidP="00137BDC">
      <w:pPr>
        <w:numPr>
          <w:ilvl w:val="0"/>
          <w:numId w:val="1"/>
        </w:numPr>
        <w:spacing w:line="240" w:lineRule="auto"/>
        <w:rPr>
          <w:rFonts w:ascii="Arial Narrow" w:hAnsi="Arial Narrow"/>
          <w:lang w:val="en-GB"/>
        </w:rPr>
      </w:pPr>
      <w:r w:rsidRPr="00C530FE">
        <w:rPr>
          <w:rFonts w:ascii="Arial Narrow" w:hAnsi="Arial Narrow"/>
          <w:lang w:val="en-GB"/>
        </w:rPr>
        <w:t xml:space="preserve">The increased competition for assets in </w:t>
      </w:r>
      <w:r w:rsidRPr="00C530FE">
        <w:rPr>
          <w:rFonts w:ascii="Arial Narrow" w:hAnsi="Arial Narrow"/>
          <w:b/>
          <w:bCs/>
          <w:lang w:val="en-GB"/>
        </w:rPr>
        <w:t>Asia</w:t>
      </w:r>
      <w:r w:rsidRPr="00C530FE">
        <w:rPr>
          <w:rFonts w:ascii="Arial Narrow" w:hAnsi="Arial Narrow"/>
          <w:lang w:val="en-GB"/>
        </w:rPr>
        <w:t xml:space="preserve"> is changing the industry in fundamental and often unexpected ways. Many core investors are moving up the risk curve to meet target returns, while others are moving down the risk curve to seek the type of steady but safe yield no longer available from sovereign bonds. Core and opportunistic investors are converging in the value-add space. One result of this phenomenon is the migration of investors into markets and asset classes that in the past did not attract much interest. In particular, fund managers are now considering data cent</w:t>
      </w:r>
      <w:r w:rsidR="006B750F" w:rsidRPr="00C530FE">
        <w:rPr>
          <w:rFonts w:ascii="Arial Narrow" w:hAnsi="Arial Narrow"/>
          <w:lang w:val="en-GB"/>
        </w:rPr>
        <w:t>res</w:t>
      </w:r>
      <w:r w:rsidRPr="00C530FE">
        <w:rPr>
          <w:rFonts w:ascii="Arial Narrow" w:hAnsi="Arial Narrow"/>
          <w:lang w:val="en-GB"/>
        </w:rPr>
        <w:t xml:space="preserve"> healthcare assets, affordable housing projects, build-to-rent facilities, student accommodation and senior housing.</w:t>
      </w:r>
    </w:p>
    <w:p w14:paraId="487046C0" w14:textId="77777777" w:rsidR="00137BDC" w:rsidRPr="00C530FE" w:rsidRDefault="00137BDC" w:rsidP="00137BDC">
      <w:pPr>
        <w:numPr>
          <w:ilvl w:val="0"/>
          <w:numId w:val="1"/>
        </w:numPr>
        <w:spacing w:line="240" w:lineRule="auto"/>
        <w:rPr>
          <w:rFonts w:ascii="Arial Narrow" w:hAnsi="Arial Narrow"/>
          <w:lang w:val="en-GB"/>
        </w:rPr>
      </w:pPr>
      <w:r w:rsidRPr="00C530FE">
        <w:rPr>
          <w:rFonts w:ascii="Arial Narrow" w:hAnsi="Arial Narrow"/>
          <w:b/>
          <w:bCs/>
          <w:lang w:val="en-GB"/>
        </w:rPr>
        <w:t>Europe</w:t>
      </w:r>
      <w:r w:rsidRPr="00C530FE">
        <w:rPr>
          <w:rFonts w:ascii="Arial Narrow" w:hAnsi="Arial Narrow"/>
          <w:lang w:val="en-GB"/>
        </w:rPr>
        <w:t>’s property industry is drawing comfort from the fact that the European Union economy is growing at its fastest pace in a decade, which is supporting occupier demand as well as investment. Much of the growth has been driven by the core economies of Germany, France, Italy, and Spain. For European property professionals, it is hard to dissociate London from the continuing uncertainty around Brexit.</w:t>
      </w:r>
      <w:r w:rsidR="004D01EC" w:rsidRPr="00C530FE">
        <w:rPr>
          <w:rFonts w:ascii="Arial Narrow" w:hAnsi="Arial Narrow"/>
          <w:lang w:val="en-GB"/>
        </w:rPr>
        <w:t xml:space="preserve"> </w:t>
      </w:r>
      <w:r w:rsidRPr="00C530FE">
        <w:rPr>
          <w:rFonts w:ascii="Arial Narrow" w:hAnsi="Arial Narrow"/>
          <w:lang w:val="en-GB"/>
        </w:rPr>
        <w:t>But the report also notes that Asian investors – less bothered by Brexit than their European peers – are looking to the long-term by deploying capital in London.</w:t>
      </w:r>
    </w:p>
    <w:p w14:paraId="165718D5" w14:textId="77777777" w:rsidR="009C135A" w:rsidRPr="00C530FE" w:rsidRDefault="009C135A" w:rsidP="009C135A">
      <w:pPr>
        <w:numPr>
          <w:ilvl w:val="0"/>
          <w:numId w:val="1"/>
        </w:numPr>
        <w:spacing w:line="240" w:lineRule="auto"/>
        <w:rPr>
          <w:rFonts w:ascii="Arial Narrow" w:hAnsi="Arial Narrow"/>
          <w:lang w:val="en-GB"/>
        </w:rPr>
      </w:pPr>
      <w:r w:rsidRPr="00C530FE">
        <w:rPr>
          <w:rFonts w:ascii="Arial Narrow" w:hAnsi="Arial Narrow"/>
          <w:lang w:val="en-GB"/>
        </w:rPr>
        <w:t xml:space="preserve">In the </w:t>
      </w:r>
      <w:r w:rsidRPr="00C530FE">
        <w:rPr>
          <w:rFonts w:ascii="Arial Narrow" w:hAnsi="Arial Narrow"/>
          <w:b/>
          <w:bCs/>
          <w:lang w:val="en-GB"/>
        </w:rPr>
        <w:t>U.S.</w:t>
      </w:r>
      <w:r w:rsidRPr="00C530FE">
        <w:rPr>
          <w:rFonts w:ascii="Arial Narrow" w:hAnsi="Arial Narrow"/>
          <w:lang w:val="en-GB"/>
        </w:rPr>
        <w:t xml:space="preserve">, the possible impact of the new federal tax law on real estate is being watched closely. According to the </w:t>
      </w:r>
      <w:r w:rsidRPr="00C530FE">
        <w:rPr>
          <w:rFonts w:ascii="Arial Narrow" w:hAnsi="Arial Narrow"/>
          <w:i/>
          <w:lang w:val="en-GB"/>
        </w:rPr>
        <w:t>Emerging Trends</w:t>
      </w:r>
      <w:r w:rsidRPr="00C530FE">
        <w:rPr>
          <w:rFonts w:ascii="Arial Narrow" w:hAnsi="Arial Narrow"/>
          <w:lang w:val="en-GB"/>
        </w:rPr>
        <w:t xml:space="preserve"> </w:t>
      </w:r>
      <w:r w:rsidRPr="00C530FE">
        <w:rPr>
          <w:rFonts w:ascii="Arial Narrow" w:hAnsi="Arial Narrow"/>
          <w:i/>
          <w:lang w:val="en-GB"/>
        </w:rPr>
        <w:t>2018</w:t>
      </w:r>
      <w:r w:rsidRPr="00C530FE">
        <w:rPr>
          <w:rFonts w:ascii="Arial Narrow" w:hAnsi="Arial Narrow"/>
          <w:lang w:val="en-GB"/>
        </w:rPr>
        <w:t xml:space="preserve"> mid-year survey of industry professionals in the U.S., 61 percent of respondents believe the new tax law will be good for real estate. Around a quarter of respondents say the tax reform will boost investor demand, and a similar number say it will improve occupier demand. The report notes that the full impact on commercial real estate remains to be seen, but points to three main fiscal levers: foreign investors will be able to invest and repatriate profits more easily than before; U.S. companies that until now parked some of their profits overseas at lower corporate tax rates can repatriate those earnings into the U.S.; and the</w:t>
      </w:r>
      <w:r w:rsidR="00063731" w:rsidRPr="00C530FE">
        <w:rPr>
          <w:rFonts w:ascii="Arial Narrow" w:hAnsi="Arial Narrow"/>
          <w:lang w:val="en-GB"/>
        </w:rPr>
        <w:t xml:space="preserve"> U.S.</w:t>
      </w:r>
      <w:r w:rsidRPr="00C530FE">
        <w:rPr>
          <w:rFonts w:ascii="Arial Narrow" w:hAnsi="Arial Narrow"/>
          <w:lang w:val="en-GB"/>
        </w:rPr>
        <w:t xml:space="preserve"> corporate tax rate will be </w:t>
      </w:r>
      <w:r w:rsidR="00063731" w:rsidRPr="00C530FE">
        <w:rPr>
          <w:rFonts w:ascii="Arial Narrow" w:hAnsi="Arial Narrow"/>
          <w:lang w:val="en-GB"/>
        </w:rPr>
        <w:t>reduced.</w:t>
      </w:r>
    </w:p>
    <w:p w14:paraId="26605821" w14:textId="77777777" w:rsidR="009C135A" w:rsidRPr="00C530FE" w:rsidRDefault="009C135A" w:rsidP="009C135A">
      <w:pPr>
        <w:spacing w:line="240" w:lineRule="auto"/>
        <w:rPr>
          <w:rFonts w:ascii="Arial Narrow" w:hAnsi="Arial Narrow"/>
          <w:lang w:val="en-GB"/>
        </w:rPr>
      </w:pPr>
    </w:p>
    <w:p w14:paraId="5921BF08" w14:textId="77777777" w:rsidR="00AB1A08" w:rsidRPr="00C530FE" w:rsidRDefault="00AB1A08" w:rsidP="009C135A">
      <w:pPr>
        <w:pStyle w:val="NormalWeb"/>
        <w:shd w:val="clear" w:color="auto" w:fill="FEFEFE"/>
        <w:rPr>
          <w:rFonts w:ascii="Arial Narrow" w:hAnsi="Arial Narrow" w:cs="Helvetica"/>
          <w:i/>
          <w:iCs/>
          <w:sz w:val="22"/>
          <w:szCs w:val="22"/>
          <w:lang w:val="en-GB"/>
        </w:rPr>
      </w:pPr>
      <w:r w:rsidRPr="00C530FE">
        <w:rPr>
          <w:rFonts w:ascii="Arial Narrow" w:hAnsi="Arial Narrow" w:cs="Helvetica"/>
          <w:b/>
          <w:bCs/>
          <w:i/>
          <w:sz w:val="22"/>
          <w:szCs w:val="22"/>
          <w:lang w:val="en-GB"/>
        </w:rPr>
        <w:t>About the Urban Land Institute</w:t>
      </w:r>
      <w:r w:rsidRPr="00C530FE">
        <w:rPr>
          <w:rFonts w:ascii="Arial Narrow" w:hAnsi="Arial Narrow" w:cs="Helvetica"/>
          <w:b/>
          <w:bCs/>
          <w:i/>
          <w:sz w:val="22"/>
          <w:szCs w:val="22"/>
          <w:lang w:val="en-GB"/>
        </w:rPr>
        <w:br/>
      </w:r>
      <w:r w:rsidRPr="00C530FE">
        <w:rPr>
          <w:rFonts w:ascii="Arial Narrow" w:hAnsi="Arial Narrow" w:cs="Helvetica"/>
          <w:i/>
          <w:iCs/>
          <w:sz w:val="22"/>
          <w:szCs w:val="22"/>
          <w:lang w:val="en-GB"/>
        </w:rPr>
        <w:t xml:space="preserve">The Urban Land Institute is a non-profit education and research institute supported by its members. Its mission is to provide leadership in the responsible use of land and in creating and sustaining thriving communities worldwide. Established in 1936, the institute has over 40,000 members worldwide representing all aspects of land use and development disciplines. For more information, please visit </w:t>
      </w:r>
      <w:hyperlink r:id="rId9" w:history="1">
        <w:r w:rsidRPr="00C530FE">
          <w:rPr>
            <w:rStyle w:val="Hyperlink"/>
            <w:rFonts w:ascii="Arial Narrow" w:hAnsi="Arial Narrow" w:cs="Helvetica"/>
            <w:i/>
            <w:sz w:val="22"/>
            <w:szCs w:val="22"/>
            <w:lang w:val="en-GB"/>
          </w:rPr>
          <w:t>europe.uli.org</w:t>
        </w:r>
      </w:hyperlink>
      <w:r w:rsidRPr="00C530FE">
        <w:rPr>
          <w:rFonts w:ascii="Arial Narrow" w:hAnsi="Arial Narrow" w:cs="Helvetica"/>
          <w:i/>
          <w:iCs/>
          <w:sz w:val="22"/>
          <w:szCs w:val="22"/>
          <w:lang w:val="en-GB"/>
        </w:rPr>
        <w:t xml:space="preserve">, follow us on </w:t>
      </w:r>
      <w:hyperlink r:id="rId10" w:history="1">
        <w:r w:rsidRPr="00C530FE">
          <w:rPr>
            <w:rStyle w:val="Hyperlink"/>
            <w:rFonts w:ascii="Arial Narrow" w:hAnsi="Arial Narrow" w:cs="Helvetica"/>
            <w:i/>
            <w:sz w:val="22"/>
            <w:szCs w:val="22"/>
            <w:lang w:val="en-GB"/>
          </w:rPr>
          <w:t>Twitter</w:t>
        </w:r>
      </w:hyperlink>
      <w:r w:rsidRPr="00C530FE">
        <w:rPr>
          <w:rFonts w:ascii="Arial Narrow" w:hAnsi="Arial Narrow" w:cs="Helvetica"/>
          <w:i/>
          <w:iCs/>
          <w:sz w:val="22"/>
          <w:szCs w:val="22"/>
          <w:lang w:val="en-GB"/>
        </w:rPr>
        <w:t xml:space="preserve">, or join our </w:t>
      </w:r>
      <w:hyperlink r:id="rId11" w:history="1">
        <w:r w:rsidRPr="00C530FE">
          <w:rPr>
            <w:rStyle w:val="Hyperlink"/>
            <w:rFonts w:ascii="Arial Narrow" w:hAnsi="Arial Narrow" w:cs="Helvetica"/>
            <w:i/>
            <w:sz w:val="22"/>
            <w:szCs w:val="22"/>
            <w:lang w:val="en-GB"/>
          </w:rPr>
          <w:t>LinkedIn group</w:t>
        </w:r>
      </w:hyperlink>
      <w:r w:rsidRPr="00C530FE">
        <w:rPr>
          <w:rFonts w:ascii="Arial Narrow" w:hAnsi="Arial Narrow" w:cs="Helvetica"/>
          <w:i/>
          <w:iCs/>
          <w:sz w:val="22"/>
          <w:szCs w:val="22"/>
          <w:lang w:val="en-GB"/>
        </w:rPr>
        <w:t>.</w:t>
      </w:r>
    </w:p>
    <w:p w14:paraId="12DB927B" w14:textId="43F596B5" w:rsidR="00142857" w:rsidRPr="002F08D4" w:rsidRDefault="00142857" w:rsidP="00142857">
      <w:pPr>
        <w:spacing w:line="240" w:lineRule="auto"/>
        <w:rPr>
          <w:rFonts w:ascii="Arial Narrow" w:hAnsi="Arial Narrow"/>
          <w:b/>
          <w:i/>
        </w:rPr>
      </w:pPr>
      <w:r w:rsidRPr="002F08D4">
        <w:rPr>
          <w:rFonts w:ascii="Arial Narrow" w:hAnsi="Arial Narrow"/>
          <w:b/>
          <w:i/>
        </w:rPr>
        <w:t>About PwC</w:t>
      </w:r>
      <w:r w:rsidR="002F08D4">
        <w:rPr>
          <w:rFonts w:ascii="Arial Narrow" w:hAnsi="Arial Narrow"/>
          <w:b/>
          <w:i/>
        </w:rPr>
        <w:br/>
      </w:r>
      <w:r w:rsidRPr="002F08D4">
        <w:rPr>
          <w:rFonts w:ascii="Arial Narrow" w:hAnsi="Arial Narrow"/>
          <w:i/>
        </w:rPr>
        <w:t xml:space="preserve">At PwC, our purpose is to build trust in society and solve important problems. We’re a network of firms in 158 countries with more than 236,000 people who are committed to delivering quality in assurance, advisory and tax services. Find out more and tell us what matters to you by visiting us at </w:t>
      </w:r>
      <w:hyperlink r:id="rId12" w:history="1">
        <w:r w:rsidRPr="002F08D4">
          <w:rPr>
            <w:rStyle w:val="Hyperlink"/>
            <w:rFonts w:ascii="Arial Narrow" w:hAnsi="Arial Narrow"/>
            <w:i/>
          </w:rPr>
          <w:t>www.pwc.com</w:t>
        </w:r>
      </w:hyperlink>
      <w:r w:rsidRPr="002F08D4">
        <w:rPr>
          <w:rFonts w:ascii="Arial Narrow" w:hAnsi="Arial Narrow"/>
          <w:i/>
        </w:rPr>
        <w:t>.</w:t>
      </w:r>
    </w:p>
    <w:p w14:paraId="6C86C817" w14:textId="5F6F42AC" w:rsidR="00142857" w:rsidRPr="002F08D4" w:rsidRDefault="00142857" w:rsidP="00142857">
      <w:pPr>
        <w:spacing w:line="240" w:lineRule="auto"/>
        <w:rPr>
          <w:rFonts w:ascii="Arial Narrow" w:hAnsi="Arial Narrow"/>
          <w:i/>
        </w:rPr>
      </w:pPr>
      <w:r w:rsidRPr="002F08D4">
        <w:rPr>
          <w:rFonts w:ascii="Arial Narrow" w:hAnsi="Arial Narrow"/>
          <w:i/>
        </w:rPr>
        <w:t xml:space="preserve">PwC refers to the PwC network and/or one or more of its member firms, each of which is a separate legal entity. Please see </w:t>
      </w:r>
      <w:hyperlink r:id="rId13" w:history="1">
        <w:r w:rsidRPr="002F08D4">
          <w:rPr>
            <w:rStyle w:val="Hyperlink"/>
            <w:rFonts w:ascii="Arial Narrow" w:hAnsi="Arial Narrow"/>
            <w:i/>
          </w:rPr>
          <w:t>www.pwc.com/structure</w:t>
        </w:r>
      </w:hyperlink>
      <w:r w:rsidRPr="002F08D4">
        <w:rPr>
          <w:rFonts w:ascii="Arial Narrow" w:hAnsi="Arial Narrow"/>
          <w:i/>
        </w:rPr>
        <w:t xml:space="preserve"> for further details.</w:t>
      </w:r>
    </w:p>
    <w:p w14:paraId="09B6FF36" w14:textId="77777777" w:rsidR="00142857" w:rsidRPr="002F08D4" w:rsidRDefault="00142857" w:rsidP="00142857">
      <w:pPr>
        <w:spacing w:line="240" w:lineRule="auto"/>
        <w:rPr>
          <w:rFonts w:ascii="Arial Narrow" w:hAnsi="Arial Narrow"/>
          <w:i/>
        </w:rPr>
      </w:pPr>
      <w:r w:rsidRPr="002F08D4">
        <w:rPr>
          <w:rFonts w:ascii="Arial Narrow" w:hAnsi="Arial Narrow"/>
          <w:i/>
        </w:rPr>
        <w:t>© 2018 PwC. All rights reserved</w:t>
      </w:r>
    </w:p>
    <w:p w14:paraId="7EAA75F6" w14:textId="5BD411CF" w:rsidR="00AB1A08" w:rsidRPr="006B750F" w:rsidRDefault="00AB1A08" w:rsidP="00142857">
      <w:pPr>
        <w:spacing w:line="240" w:lineRule="auto"/>
        <w:rPr>
          <w:rFonts w:ascii="Arial Narrow" w:hAnsi="Arial Narrow"/>
          <w:b/>
          <w:lang w:val="en-GB"/>
        </w:rPr>
      </w:pPr>
    </w:p>
    <w:sectPr w:rsidR="00AB1A08" w:rsidRPr="006B7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786"/>
    <w:multiLevelType w:val="hybridMultilevel"/>
    <w:tmpl w:val="D7A8C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69"/>
    <w:rsid w:val="00010DCE"/>
    <w:rsid w:val="00021433"/>
    <w:rsid w:val="00063731"/>
    <w:rsid w:val="00137BDC"/>
    <w:rsid w:val="001407BC"/>
    <w:rsid w:val="00142857"/>
    <w:rsid w:val="001F662B"/>
    <w:rsid w:val="002105A3"/>
    <w:rsid w:val="002139D3"/>
    <w:rsid w:val="00215DE5"/>
    <w:rsid w:val="0022237B"/>
    <w:rsid w:val="00246708"/>
    <w:rsid w:val="00272267"/>
    <w:rsid w:val="00283D85"/>
    <w:rsid w:val="0028690D"/>
    <w:rsid w:val="002D33E5"/>
    <w:rsid w:val="002F0672"/>
    <w:rsid w:val="002F08D4"/>
    <w:rsid w:val="003028F7"/>
    <w:rsid w:val="003110C2"/>
    <w:rsid w:val="003319EC"/>
    <w:rsid w:val="00331F14"/>
    <w:rsid w:val="00375B7E"/>
    <w:rsid w:val="0038391A"/>
    <w:rsid w:val="00387678"/>
    <w:rsid w:val="003D381F"/>
    <w:rsid w:val="00400DE3"/>
    <w:rsid w:val="00481311"/>
    <w:rsid w:val="004D01EC"/>
    <w:rsid w:val="004D162E"/>
    <w:rsid w:val="004E0F00"/>
    <w:rsid w:val="004E77E2"/>
    <w:rsid w:val="004F440C"/>
    <w:rsid w:val="0050695C"/>
    <w:rsid w:val="0051348F"/>
    <w:rsid w:val="00525DDD"/>
    <w:rsid w:val="00534E4C"/>
    <w:rsid w:val="00540B69"/>
    <w:rsid w:val="005421EB"/>
    <w:rsid w:val="005476AE"/>
    <w:rsid w:val="00594DFD"/>
    <w:rsid w:val="005A58B1"/>
    <w:rsid w:val="005C3565"/>
    <w:rsid w:val="005E1A23"/>
    <w:rsid w:val="006473C5"/>
    <w:rsid w:val="00670AE3"/>
    <w:rsid w:val="00675219"/>
    <w:rsid w:val="006778CF"/>
    <w:rsid w:val="00691406"/>
    <w:rsid w:val="006B750F"/>
    <w:rsid w:val="006C354A"/>
    <w:rsid w:val="006D35AC"/>
    <w:rsid w:val="0077713B"/>
    <w:rsid w:val="00787682"/>
    <w:rsid w:val="007A0AD1"/>
    <w:rsid w:val="007A4EA8"/>
    <w:rsid w:val="007B26F1"/>
    <w:rsid w:val="007D66F6"/>
    <w:rsid w:val="0082706E"/>
    <w:rsid w:val="0082741F"/>
    <w:rsid w:val="008630C2"/>
    <w:rsid w:val="00894B09"/>
    <w:rsid w:val="008A5E1F"/>
    <w:rsid w:val="008C289B"/>
    <w:rsid w:val="008D63D9"/>
    <w:rsid w:val="008E299A"/>
    <w:rsid w:val="00926850"/>
    <w:rsid w:val="00943AEB"/>
    <w:rsid w:val="00950166"/>
    <w:rsid w:val="009678B1"/>
    <w:rsid w:val="009B4CC5"/>
    <w:rsid w:val="009C135A"/>
    <w:rsid w:val="00A42E3E"/>
    <w:rsid w:val="00A63776"/>
    <w:rsid w:val="00A95F78"/>
    <w:rsid w:val="00A97207"/>
    <w:rsid w:val="00AB18C7"/>
    <w:rsid w:val="00AB1A08"/>
    <w:rsid w:val="00AD72DA"/>
    <w:rsid w:val="00B171EA"/>
    <w:rsid w:val="00B27347"/>
    <w:rsid w:val="00B2777F"/>
    <w:rsid w:val="00B6311E"/>
    <w:rsid w:val="00B67329"/>
    <w:rsid w:val="00BB4B0F"/>
    <w:rsid w:val="00BD3FF6"/>
    <w:rsid w:val="00BF401B"/>
    <w:rsid w:val="00C23AEE"/>
    <w:rsid w:val="00C447EF"/>
    <w:rsid w:val="00C530FE"/>
    <w:rsid w:val="00C61AB1"/>
    <w:rsid w:val="00C9368A"/>
    <w:rsid w:val="00CF2EE3"/>
    <w:rsid w:val="00CF6433"/>
    <w:rsid w:val="00D44C35"/>
    <w:rsid w:val="00D61921"/>
    <w:rsid w:val="00DD223F"/>
    <w:rsid w:val="00DD2DB3"/>
    <w:rsid w:val="00E12200"/>
    <w:rsid w:val="00E26797"/>
    <w:rsid w:val="00E601BB"/>
    <w:rsid w:val="00E67B82"/>
    <w:rsid w:val="00E7795A"/>
    <w:rsid w:val="00E87389"/>
    <w:rsid w:val="00E96A7D"/>
    <w:rsid w:val="00EA66E6"/>
    <w:rsid w:val="00EB5116"/>
    <w:rsid w:val="00EE3016"/>
    <w:rsid w:val="00F1426B"/>
    <w:rsid w:val="00F2428E"/>
    <w:rsid w:val="00F4215B"/>
    <w:rsid w:val="00F46CD7"/>
    <w:rsid w:val="00F473EB"/>
    <w:rsid w:val="00F8163C"/>
    <w:rsid w:val="00F845E0"/>
    <w:rsid w:val="00FA3EDD"/>
    <w:rsid w:val="00FA4C53"/>
    <w:rsid w:val="00FB5487"/>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C688"/>
  <w15:chartTrackingRefBased/>
  <w15:docId w15:val="{19B82CBB-0E00-4A39-A8C3-4E156C00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95A"/>
    <w:rPr>
      <w:color w:val="0000FF"/>
      <w:u w:val="single"/>
    </w:rPr>
  </w:style>
  <w:style w:type="paragraph" w:styleId="NormalWeb">
    <w:name w:val="Normal (Web)"/>
    <w:basedOn w:val="Normal"/>
    <w:uiPriority w:val="99"/>
    <w:unhideWhenUsed/>
    <w:rsid w:val="00AB1A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3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EDD"/>
    <w:rPr>
      <w:rFonts w:ascii="Segoe UI" w:hAnsi="Segoe UI" w:cs="Segoe UI"/>
      <w:sz w:val="18"/>
      <w:szCs w:val="18"/>
    </w:rPr>
  </w:style>
  <w:style w:type="character" w:styleId="CommentReference">
    <w:name w:val="annotation reference"/>
    <w:basedOn w:val="DefaultParagraphFont"/>
    <w:uiPriority w:val="99"/>
    <w:semiHidden/>
    <w:unhideWhenUsed/>
    <w:rsid w:val="004D162E"/>
    <w:rPr>
      <w:sz w:val="16"/>
      <w:szCs w:val="16"/>
    </w:rPr>
  </w:style>
  <w:style w:type="paragraph" w:styleId="CommentText">
    <w:name w:val="annotation text"/>
    <w:basedOn w:val="Normal"/>
    <w:link w:val="CommentTextChar"/>
    <w:uiPriority w:val="99"/>
    <w:semiHidden/>
    <w:unhideWhenUsed/>
    <w:rsid w:val="004D162E"/>
    <w:pPr>
      <w:spacing w:line="240" w:lineRule="auto"/>
    </w:pPr>
    <w:rPr>
      <w:sz w:val="20"/>
      <w:szCs w:val="20"/>
    </w:rPr>
  </w:style>
  <w:style w:type="character" w:customStyle="1" w:styleId="CommentTextChar">
    <w:name w:val="Comment Text Char"/>
    <w:basedOn w:val="DefaultParagraphFont"/>
    <w:link w:val="CommentText"/>
    <w:uiPriority w:val="99"/>
    <w:semiHidden/>
    <w:rsid w:val="004D162E"/>
    <w:rPr>
      <w:sz w:val="20"/>
      <w:szCs w:val="20"/>
    </w:rPr>
  </w:style>
  <w:style w:type="paragraph" w:styleId="CommentSubject">
    <w:name w:val="annotation subject"/>
    <w:basedOn w:val="CommentText"/>
    <w:next w:val="CommentText"/>
    <w:link w:val="CommentSubjectChar"/>
    <w:uiPriority w:val="99"/>
    <w:semiHidden/>
    <w:unhideWhenUsed/>
    <w:rsid w:val="004D162E"/>
    <w:rPr>
      <w:b/>
      <w:bCs/>
    </w:rPr>
  </w:style>
  <w:style w:type="character" w:customStyle="1" w:styleId="CommentSubjectChar">
    <w:name w:val="Comment Subject Char"/>
    <w:basedOn w:val="CommentTextChar"/>
    <w:link w:val="CommentSubject"/>
    <w:uiPriority w:val="99"/>
    <w:semiHidden/>
    <w:rsid w:val="004D162E"/>
    <w:rPr>
      <w:b/>
      <w:bCs/>
      <w:sz w:val="20"/>
      <w:szCs w:val="20"/>
    </w:rPr>
  </w:style>
  <w:style w:type="paragraph" w:styleId="Revision">
    <w:name w:val="Revision"/>
    <w:hidden/>
    <w:uiPriority w:val="99"/>
    <w:semiHidden/>
    <w:rsid w:val="00926850"/>
    <w:pPr>
      <w:spacing w:after="0" w:line="240" w:lineRule="auto"/>
    </w:pPr>
  </w:style>
  <w:style w:type="character" w:customStyle="1" w:styleId="UnresolvedMention">
    <w:name w:val="Unresolved Mention"/>
    <w:basedOn w:val="DefaultParagraphFont"/>
    <w:uiPriority w:val="99"/>
    <w:semiHidden/>
    <w:unhideWhenUsed/>
    <w:rsid w:val="006B750F"/>
    <w:rPr>
      <w:color w:val="808080"/>
      <w:shd w:val="clear" w:color="auto" w:fill="E6E6E6"/>
    </w:rPr>
  </w:style>
  <w:style w:type="character" w:styleId="FollowedHyperlink">
    <w:name w:val="FollowedHyperlink"/>
    <w:basedOn w:val="DefaultParagraphFont"/>
    <w:uiPriority w:val="99"/>
    <w:semiHidden/>
    <w:unhideWhenUsed/>
    <w:rsid w:val="00FB54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14274">
      <w:bodyDiv w:val="1"/>
      <w:marLeft w:val="0"/>
      <w:marRight w:val="0"/>
      <w:marTop w:val="0"/>
      <w:marBottom w:val="0"/>
      <w:divBdr>
        <w:top w:val="none" w:sz="0" w:space="0" w:color="auto"/>
        <w:left w:val="none" w:sz="0" w:space="0" w:color="auto"/>
        <w:bottom w:val="none" w:sz="0" w:space="0" w:color="auto"/>
        <w:right w:val="none" w:sz="0" w:space="0" w:color="auto"/>
      </w:divBdr>
    </w:div>
    <w:div w:id="629165684">
      <w:bodyDiv w:val="1"/>
      <w:marLeft w:val="0"/>
      <w:marRight w:val="0"/>
      <w:marTop w:val="0"/>
      <w:marBottom w:val="0"/>
      <w:divBdr>
        <w:top w:val="none" w:sz="0" w:space="0" w:color="auto"/>
        <w:left w:val="none" w:sz="0" w:space="0" w:color="auto"/>
        <w:bottom w:val="none" w:sz="0" w:space="0" w:color="auto"/>
        <w:right w:val="none" w:sz="0" w:space="0" w:color="auto"/>
      </w:divBdr>
    </w:div>
    <w:div w:id="681247860">
      <w:bodyDiv w:val="1"/>
      <w:marLeft w:val="0"/>
      <w:marRight w:val="0"/>
      <w:marTop w:val="0"/>
      <w:marBottom w:val="0"/>
      <w:divBdr>
        <w:top w:val="none" w:sz="0" w:space="0" w:color="auto"/>
        <w:left w:val="none" w:sz="0" w:space="0" w:color="auto"/>
        <w:bottom w:val="none" w:sz="0" w:space="0" w:color="auto"/>
        <w:right w:val="none" w:sz="0" w:space="0" w:color="auto"/>
      </w:divBdr>
    </w:div>
    <w:div w:id="990865522">
      <w:bodyDiv w:val="1"/>
      <w:marLeft w:val="0"/>
      <w:marRight w:val="0"/>
      <w:marTop w:val="0"/>
      <w:marBottom w:val="0"/>
      <w:divBdr>
        <w:top w:val="none" w:sz="0" w:space="0" w:color="auto"/>
        <w:left w:val="none" w:sz="0" w:space="0" w:color="auto"/>
        <w:bottom w:val="none" w:sz="0" w:space="0" w:color="auto"/>
        <w:right w:val="none" w:sz="0" w:space="0" w:color="auto"/>
      </w:divBdr>
    </w:div>
    <w:div w:id="1729189463">
      <w:bodyDiv w:val="1"/>
      <w:marLeft w:val="0"/>
      <w:marRight w:val="0"/>
      <w:marTop w:val="0"/>
      <w:marBottom w:val="0"/>
      <w:divBdr>
        <w:top w:val="none" w:sz="0" w:space="0" w:color="auto"/>
        <w:left w:val="none" w:sz="0" w:space="0" w:color="auto"/>
        <w:bottom w:val="none" w:sz="0" w:space="0" w:color="auto"/>
        <w:right w:val="none" w:sz="0" w:space="0" w:color="auto"/>
      </w:divBdr>
    </w:div>
    <w:div w:id="18527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ha.riggs@uli.org" TargetMode="External"/><Relationship Id="rId13" Type="http://schemas.openxmlformats.org/officeDocument/2006/relationships/hyperlink" Target="http://www.pwc.com/structure" TargetMode="External"/><Relationship Id="rId3" Type="http://schemas.openxmlformats.org/officeDocument/2006/relationships/styles" Target="styles.xml"/><Relationship Id="rId7" Type="http://schemas.openxmlformats.org/officeDocument/2006/relationships/hyperlink" Target="mailto:catherine.gregory@uli.org" TargetMode="External"/><Relationship Id="rId12" Type="http://schemas.openxmlformats.org/officeDocument/2006/relationships/hyperlink" Target="http://www.pw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inkedin.com/groups/51701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ulieurope" TargetMode="External"/><Relationship Id="rId4" Type="http://schemas.openxmlformats.org/officeDocument/2006/relationships/settings" Target="settings.xml"/><Relationship Id="rId9" Type="http://schemas.openxmlformats.org/officeDocument/2006/relationships/hyperlink" Target="http://europe.ul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26762-7223-481D-A5B7-708E5644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Gregory</dc:creator>
  <cp:keywords/>
  <dc:description/>
  <cp:lastModifiedBy>Blankenspoor, Joost</cp:lastModifiedBy>
  <cp:revision>2</cp:revision>
  <cp:lastPrinted>2018-03-07T17:19:00Z</cp:lastPrinted>
  <dcterms:created xsi:type="dcterms:W3CDTF">2018-03-12T13:30:00Z</dcterms:created>
  <dcterms:modified xsi:type="dcterms:W3CDTF">2018-03-12T13:30:00Z</dcterms:modified>
</cp:coreProperties>
</file>