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E9BA" w14:textId="77777777" w:rsidR="00934826" w:rsidRPr="005C1639" w:rsidRDefault="00F00A04" w:rsidP="00934826">
      <w:pPr>
        <w:pStyle w:val="Title"/>
        <w:spacing w:after="0"/>
        <w:rPr>
          <w:rFonts w:asciiTheme="majorHAnsi" w:hAnsiTheme="majorHAnsi"/>
          <w:szCs w:val="20"/>
        </w:rPr>
      </w:pPr>
      <w:r w:rsidRPr="005C1639">
        <w:rPr>
          <w:rFonts w:asciiTheme="majorHAnsi" w:hAnsiTheme="majorHAnsi"/>
          <w:szCs w:val="20"/>
        </w:rPr>
        <w:br/>
      </w:r>
      <w:r w:rsidR="00934826" w:rsidRPr="005C1639">
        <w:rPr>
          <w:rFonts w:asciiTheme="majorHAnsi" w:hAnsiTheme="majorHAnsi"/>
          <w:szCs w:val="20"/>
        </w:rPr>
        <w:t>News release</w:t>
      </w:r>
    </w:p>
    <w:p w14:paraId="60A06BE5" w14:textId="77777777" w:rsidR="00934826" w:rsidRPr="005C1639" w:rsidRDefault="008507E3" w:rsidP="00934826">
      <w:pPr>
        <w:rPr>
          <w:rFonts w:asciiTheme="majorHAnsi" w:hAnsiTheme="majorHAnsi"/>
          <w:szCs w:val="20"/>
        </w:rPr>
      </w:pPr>
      <w:r w:rsidRPr="005C1639">
        <w:rPr>
          <w:rFonts w:asciiTheme="majorHAnsi" w:hAnsiTheme="majorHAnsi"/>
          <w:szCs w:val="20"/>
        </w:rPr>
        <w:tab/>
      </w:r>
      <w:r w:rsidRPr="005C1639">
        <w:rPr>
          <w:rFonts w:asciiTheme="majorHAnsi" w:hAnsiTheme="majorHAnsi"/>
          <w:szCs w:val="20"/>
        </w:rPr>
        <w:tab/>
      </w:r>
      <w:r w:rsidRPr="005C1639">
        <w:rPr>
          <w:rFonts w:asciiTheme="majorHAnsi" w:hAnsiTheme="majorHAnsi"/>
          <w:szCs w:val="20"/>
        </w:rPr>
        <w:tab/>
      </w:r>
    </w:p>
    <w:tbl>
      <w:tblPr>
        <w:tblW w:w="14252" w:type="dxa"/>
        <w:tblLayout w:type="fixed"/>
        <w:tblLook w:val="0000" w:firstRow="0" w:lastRow="0" w:firstColumn="0" w:lastColumn="0" w:noHBand="0" w:noVBand="0"/>
      </w:tblPr>
      <w:tblGrid>
        <w:gridCol w:w="2268"/>
        <w:gridCol w:w="6102"/>
        <w:gridCol w:w="5882"/>
      </w:tblGrid>
      <w:tr w:rsidR="00934826" w:rsidRPr="005C1639" w14:paraId="11448027" w14:textId="77777777" w:rsidTr="00F00A04">
        <w:trPr>
          <w:gridAfter w:val="1"/>
          <w:wAfter w:w="5882" w:type="dxa"/>
        </w:trPr>
        <w:tc>
          <w:tcPr>
            <w:tcW w:w="2268" w:type="dxa"/>
          </w:tcPr>
          <w:p w14:paraId="05581C8B" w14:textId="77777777" w:rsidR="00934826" w:rsidRPr="001A64C4" w:rsidRDefault="00934826" w:rsidP="00F00A04">
            <w:pPr>
              <w:spacing w:line="240" w:lineRule="auto"/>
              <w:ind w:left="-108"/>
              <w:rPr>
                <w:rFonts w:asciiTheme="majorHAnsi" w:hAnsiTheme="majorHAnsi"/>
                <w:i/>
                <w:szCs w:val="20"/>
              </w:rPr>
            </w:pPr>
            <w:r w:rsidRPr="001A64C4">
              <w:rPr>
                <w:rFonts w:asciiTheme="majorHAnsi" w:hAnsiTheme="majorHAnsi"/>
                <w:i/>
                <w:szCs w:val="20"/>
              </w:rPr>
              <w:t>Date</w:t>
            </w:r>
          </w:p>
        </w:tc>
        <w:tc>
          <w:tcPr>
            <w:tcW w:w="6102" w:type="dxa"/>
          </w:tcPr>
          <w:p w14:paraId="204BA6A3" w14:textId="14BA0787" w:rsidR="00934826" w:rsidRPr="005C1639" w:rsidRDefault="008507E3" w:rsidP="00CB2771">
            <w:pPr>
              <w:spacing w:line="240" w:lineRule="auto"/>
              <w:rPr>
                <w:rFonts w:asciiTheme="majorHAnsi" w:hAnsiTheme="majorHAnsi"/>
                <w:b/>
                <w:sz w:val="22"/>
              </w:rPr>
            </w:pPr>
            <w:r w:rsidRPr="005C1639">
              <w:rPr>
                <w:rFonts w:asciiTheme="majorHAnsi" w:hAnsiTheme="majorHAnsi"/>
                <w:b/>
                <w:sz w:val="22"/>
                <w:szCs w:val="20"/>
              </w:rPr>
              <w:t xml:space="preserve">UNDER EMBARGO: </w:t>
            </w:r>
            <w:r w:rsidR="00382771">
              <w:rPr>
                <w:rFonts w:asciiTheme="majorHAnsi" w:hAnsiTheme="majorHAnsi"/>
                <w:b/>
                <w:sz w:val="22"/>
                <w:szCs w:val="20"/>
              </w:rPr>
              <w:t>06:00</w:t>
            </w:r>
            <w:r w:rsidR="00A63E62" w:rsidRPr="00A63E62">
              <w:rPr>
                <w:rFonts w:asciiTheme="majorHAnsi" w:hAnsiTheme="majorHAnsi"/>
                <w:b/>
                <w:sz w:val="22"/>
                <w:szCs w:val="20"/>
              </w:rPr>
              <w:t xml:space="preserve">am GMT on Monday </w:t>
            </w:r>
            <w:r w:rsidR="00A63E62">
              <w:rPr>
                <w:rFonts w:asciiTheme="majorHAnsi" w:hAnsiTheme="majorHAnsi"/>
                <w:b/>
                <w:sz w:val="22"/>
                <w:szCs w:val="20"/>
              </w:rPr>
              <w:t>30</w:t>
            </w:r>
            <w:r w:rsidR="00A63E62" w:rsidRPr="00A63E62">
              <w:rPr>
                <w:rFonts w:asciiTheme="majorHAnsi" w:hAnsiTheme="majorHAnsi"/>
                <w:b/>
                <w:sz w:val="22"/>
                <w:szCs w:val="20"/>
              </w:rPr>
              <w:t xml:space="preserve"> October 2017</w:t>
            </w:r>
          </w:p>
        </w:tc>
      </w:tr>
      <w:tr w:rsidR="00934826" w:rsidRPr="005C1639" w14:paraId="10BFE92E" w14:textId="77777777" w:rsidTr="00F00A04">
        <w:tc>
          <w:tcPr>
            <w:tcW w:w="2268" w:type="dxa"/>
          </w:tcPr>
          <w:p w14:paraId="0BF50FD8" w14:textId="77777777" w:rsidR="00934826" w:rsidRPr="005C1639" w:rsidRDefault="00934826" w:rsidP="000354F3">
            <w:pPr>
              <w:spacing w:line="240" w:lineRule="auto"/>
              <w:rPr>
                <w:rFonts w:asciiTheme="majorHAnsi" w:hAnsiTheme="majorHAnsi"/>
                <w:i/>
                <w:sz w:val="22"/>
              </w:rPr>
            </w:pPr>
          </w:p>
        </w:tc>
        <w:tc>
          <w:tcPr>
            <w:tcW w:w="6102" w:type="dxa"/>
          </w:tcPr>
          <w:p w14:paraId="536D835F" w14:textId="77777777" w:rsidR="00934826" w:rsidRPr="005C1639" w:rsidRDefault="00934826" w:rsidP="000354F3">
            <w:pPr>
              <w:rPr>
                <w:rFonts w:asciiTheme="majorHAnsi" w:hAnsiTheme="majorHAnsi"/>
                <w:b/>
                <w:color w:val="000000" w:themeColor="text1"/>
                <w:sz w:val="22"/>
              </w:rPr>
            </w:pPr>
          </w:p>
        </w:tc>
        <w:tc>
          <w:tcPr>
            <w:tcW w:w="5882" w:type="dxa"/>
          </w:tcPr>
          <w:p w14:paraId="2B55AC4E" w14:textId="77777777" w:rsidR="00934826" w:rsidRPr="005C1639" w:rsidRDefault="00934826" w:rsidP="000354F3">
            <w:pPr>
              <w:spacing w:line="240" w:lineRule="auto"/>
              <w:rPr>
                <w:rFonts w:asciiTheme="majorHAnsi" w:hAnsiTheme="majorHAnsi"/>
              </w:rPr>
            </w:pPr>
          </w:p>
        </w:tc>
      </w:tr>
    </w:tbl>
    <w:tbl>
      <w:tblPr>
        <w:tblpPr w:leftFromText="180" w:rightFromText="180" w:vertAnchor="text" w:tblpY="1"/>
        <w:tblOverlap w:val="never"/>
        <w:tblW w:w="0" w:type="auto"/>
        <w:tblLayout w:type="fixed"/>
        <w:tblLook w:val="0000" w:firstRow="0" w:lastRow="0" w:firstColumn="0" w:lastColumn="0" w:noHBand="0" w:noVBand="0"/>
      </w:tblPr>
      <w:tblGrid>
        <w:gridCol w:w="2268"/>
        <w:gridCol w:w="5882"/>
      </w:tblGrid>
      <w:tr w:rsidR="00934826" w:rsidRPr="005C1639" w14:paraId="14F4F4AB" w14:textId="77777777" w:rsidTr="000354F3">
        <w:trPr>
          <w:trHeight w:val="821"/>
        </w:trPr>
        <w:tc>
          <w:tcPr>
            <w:tcW w:w="2268" w:type="dxa"/>
            <w:shd w:val="clear" w:color="auto" w:fill="auto"/>
          </w:tcPr>
          <w:p w14:paraId="2D615012" w14:textId="77777777" w:rsidR="00934826" w:rsidRPr="005C1639" w:rsidRDefault="00934826" w:rsidP="00F00A04">
            <w:pPr>
              <w:ind w:left="-108"/>
              <w:rPr>
                <w:rFonts w:asciiTheme="majorHAnsi" w:hAnsiTheme="majorHAnsi"/>
                <w:i/>
                <w:szCs w:val="20"/>
              </w:rPr>
            </w:pPr>
            <w:r w:rsidRPr="005C1639">
              <w:rPr>
                <w:rFonts w:asciiTheme="majorHAnsi" w:hAnsiTheme="majorHAnsi"/>
                <w:i/>
                <w:szCs w:val="20"/>
              </w:rPr>
              <w:t>Contact</w:t>
            </w:r>
            <w:r w:rsidR="001A64C4">
              <w:rPr>
                <w:rFonts w:asciiTheme="majorHAnsi" w:hAnsiTheme="majorHAnsi"/>
                <w:i/>
                <w:szCs w:val="20"/>
              </w:rPr>
              <w:t>s</w:t>
            </w:r>
          </w:p>
        </w:tc>
        <w:tc>
          <w:tcPr>
            <w:tcW w:w="5882" w:type="dxa"/>
            <w:shd w:val="clear" w:color="auto" w:fill="auto"/>
          </w:tcPr>
          <w:tbl>
            <w:tblPr>
              <w:tblpPr w:leftFromText="180" w:rightFromText="180" w:vertAnchor="text" w:tblpY="1"/>
              <w:tblOverlap w:val="never"/>
              <w:tblW w:w="10440" w:type="dxa"/>
              <w:tblLayout w:type="fixed"/>
              <w:tblLook w:val="0000" w:firstRow="0" w:lastRow="0" w:firstColumn="0" w:lastColumn="0" w:noHBand="0" w:noVBand="0"/>
            </w:tblPr>
            <w:tblGrid>
              <w:gridCol w:w="5220"/>
              <w:gridCol w:w="5220"/>
            </w:tblGrid>
            <w:tr w:rsidR="00F00A04" w:rsidRPr="005C1639" w14:paraId="4E6628DB" w14:textId="77777777" w:rsidTr="00F00A04">
              <w:tc>
                <w:tcPr>
                  <w:tcW w:w="5220" w:type="dxa"/>
                </w:tcPr>
                <w:p w14:paraId="09498B86" w14:textId="77777777" w:rsidR="008507E3" w:rsidRPr="005C1639" w:rsidRDefault="008507E3" w:rsidP="00A40DB7">
                  <w:pPr>
                    <w:tabs>
                      <w:tab w:val="left" w:pos="1440"/>
                    </w:tabs>
                    <w:rPr>
                      <w:rFonts w:asciiTheme="majorHAnsi" w:hAnsiTheme="majorHAnsi" w:cs="Arial"/>
                      <w:bCs/>
                      <w:color w:val="000000"/>
                      <w:szCs w:val="20"/>
                      <w:lang w:val="it-IT"/>
                    </w:rPr>
                  </w:pPr>
                  <w:r w:rsidRPr="005C1639">
                    <w:rPr>
                      <w:rFonts w:asciiTheme="majorHAnsi" w:hAnsiTheme="majorHAnsi" w:cs="Arial"/>
                      <w:bCs/>
                      <w:color w:val="000000"/>
                      <w:szCs w:val="20"/>
                      <w:lang w:val="it-IT"/>
                    </w:rPr>
                    <w:t>Joost Blankenspoor, PwC</w:t>
                  </w:r>
                </w:p>
                <w:p w14:paraId="657A4402" w14:textId="77777777" w:rsidR="008507E3" w:rsidRPr="005C1639" w:rsidRDefault="008507E3" w:rsidP="00F00A04">
                  <w:pPr>
                    <w:tabs>
                      <w:tab w:val="left" w:pos="1440"/>
                    </w:tabs>
                    <w:ind w:left="1440" w:hanging="1440"/>
                    <w:rPr>
                      <w:rFonts w:asciiTheme="majorHAnsi" w:hAnsiTheme="majorHAnsi" w:cs="Arial"/>
                      <w:bCs/>
                      <w:color w:val="000000"/>
                      <w:szCs w:val="20"/>
                      <w:lang w:val="it-IT"/>
                    </w:rPr>
                  </w:pPr>
                  <w:r w:rsidRPr="005C1639">
                    <w:rPr>
                      <w:rFonts w:asciiTheme="majorHAnsi" w:hAnsiTheme="majorHAnsi" w:cs="Arial"/>
                      <w:bCs/>
                      <w:color w:val="000000"/>
                      <w:szCs w:val="20"/>
                      <w:lang w:val="it-IT"/>
                    </w:rPr>
                    <w:t>Tel: +31 88 792 6596</w:t>
                  </w:r>
                </w:p>
                <w:p w14:paraId="1E8FE0A3" w14:textId="77777777" w:rsidR="008507E3" w:rsidRPr="005C1639" w:rsidRDefault="00A40DB7" w:rsidP="00F00A04">
                  <w:pPr>
                    <w:tabs>
                      <w:tab w:val="left" w:pos="1440"/>
                    </w:tabs>
                    <w:ind w:left="1440" w:hanging="1440"/>
                    <w:rPr>
                      <w:rFonts w:asciiTheme="majorHAnsi" w:hAnsiTheme="majorHAnsi" w:cs="Arial"/>
                      <w:bCs/>
                      <w:color w:val="000000"/>
                      <w:szCs w:val="20"/>
                      <w:lang w:val="it-IT"/>
                    </w:rPr>
                  </w:pPr>
                  <w:r>
                    <w:rPr>
                      <w:rFonts w:asciiTheme="majorHAnsi" w:hAnsiTheme="majorHAnsi" w:cs="Arial"/>
                      <w:bCs/>
                      <w:color w:val="000000"/>
                      <w:szCs w:val="20"/>
                      <w:lang w:val="it-IT"/>
                    </w:rPr>
                    <w:t>Email: joost.blankenspoor@</w:t>
                  </w:r>
                  <w:r w:rsidR="008507E3" w:rsidRPr="005C1639">
                    <w:rPr>
                      <w:rFonts w:asciiTheme="majorHAnsi" w:hAnsiTheme="majorHAnsi" w:cs="Arial"/>
                      <w:bCs/>
                      <w:color w:val="000000"/>
                      <w:szCs w:val="20"/>
                      <w:lang w:val="it-IT"/>
                    </w:rPr>
                    <w:t>pwc.com</w:t>
                  </w:r>
                </w:p>
                <w:p w14:paraId="10A993E0" w14:textId="77777777" w:rsidR="00F00A04" w:rsidRPr="005C1639" w:rsidRDefault="00F00A04" w:rsidP="00F00A04">
                  <w:pPr>
                    <w:pStyle w:val="Header"/>
                    <w:tabs>
                      <w:tab w:val="left" w:pos="1440"/>
                    </w:tabs>
                    <w:rPr>
                      <w:rFonts w:asciiTheme="majorHAnsi" w:hAnsiTheme="majorHAnsi"/>
                      <w:szCs w:val="20"/>
                      <w:lang w:val="it-IT"/>
                    </w:rPr>
                  </w:pPr>
                </w:p>
              </w:tc>
              <w:tc>
                <w:tcPr>
                  <w:tcW w:w="5220" w:type="dxa"/>
                  <w:shd w:val="clear" w:color="auto" w:fill="auto"/>
                </w:tcPr>
                <w:p w14:paraId="549AB6DD" w14:textId="77777777" w:rsidR="00F00A04" w:rsidRPr="005C1639" w:rsidRDefault="00F00A04" w:rsidP="00F00A04">
                  <w:pPr>
                    <w:rPr>
                      <w:rFonts w:asciiTheme="majorHAnsi" w:hAnsiTheme="majorHAnsi"/>
                      <w:i/>
                      <w:szCs w:val="20"/>
                    </w:rPr>
                  </w:pPr>
                </w:p>
              </w:tc>
            </w:tr>
          </w:tbl>
          <w:p w14:paraId="403A3AF7" w14:textId="77777777" w:rsidR="00934826" w:rsidRPr="005C1639" w:rsidRDefault="00934826" w:rsidP="000354F3">
            <w:pPr>
              <w:rPr>
                <w:rFonts w:asciiTheme="majorHAnsi" w:hAnsiTheme="majorHAnsi"/>
                <w:lang w:val="pt-PT"/>
              </w:rPr>
            </w:pPr>
          </w:p>
        </w:tc>
      </w:tr>
      <w:tr w:rsidR="00934826" w:rsidRPr="005C1639" w14:paraId="528B56F3" w14:textId="77777777" w:rsidTr="001A64C4">
        <w:trPr>
          <w:trHeight w:val="1070"/>
        </w:trPr>
        <w:tc>
          <w:tcPr>
            <w:tcW w:w="2268" w:type="dxa"/>
            <w:shd w:val="clear" w:color="auto" w:fill="auto"/>
          </w:tcPr>
          <w:p w14:paraId="145AFCEB" w14:textId="77777777" w:rsidR="008507E3" w:rsidRPr="005C1639" w:rsidRDefault="008507E3" w:rsidP="00F00A04">
            <w:pPr>
              <w:ind w:left="-108"/>
              <w:rPr>
                <w:rFonts w:asciiTheme="majorHAnsi" w:hAnsiTheme="majorHAnsi"/>
                <w:i/>
                <w:szCs w:val="20"/>
              </w:rPr>
            </w:pPr>
          </w:p>
          <w:p w14:paraId="01A59113" w14:textId="77777777" w:rsidR="008507E3" w:rsidRPr="005C1639" w:rsidRDefault="008507E3" w:rsidP="00F00A04">
            <w:pPr>
              <w:ind w:left="-108"/>
              <w:rPr>
                <w:rFonts w:asciiTheme="majorHAnsi" w:hAnsiTheme="majorHAnsi"/>
                <w:i/>
                <w:szCs w:val="20"/>
              </w:rPr>
            </w:pPr>
          </w:p>
          <w:p w14:paraId="47BB473D" w14:textId="77777777" w:rsidR="008507E3" w:rsidRPr="005C1639" w:rsidRDefault="008507E3" w:rsidP="00F00A04">
            <w:pPr>
              <w:ind w:left="-108"/>
              <w:rPr>
                <w:rFonts w:asciiTheme="majorHAnsi" w:hAnsiTheme="majorHAnsi"/>
                <w:i/>
                <w:szCs w:val="20"/>
              </w:rPr>
            </w:pPr>
          </w:p>
          <w:p w14:paraId="76A8D7FC" w14:textId="77777777" w:rsidR="00934826" w:rsidRPr="005C1639" w:rsidRDefault="00934826" w:rsidP="00F00A04">
            <w:pPr>
              <w:ind w:left="-108"/>
              <w:rPr>
                <w:rFonts w:asciiTheme="majorHAnsi" w:hAnsiTheme="majorHAnsi"/>
                <w:i/>
                <w:szCs w:val="20"/>
              </w:rPr>
            </w:pPr>
            <w:r w:rsidRPr="005C1639">
              <w:rPr>
                <w:rFonts w:asciiTheme="majorHAnsi" w:hAnsiTheme="majorHAnsi"/>
                <w:i/>
                <w:szCs w:val="20"/>
              </w:rPr>
              <w:t xml:space="preserve">Pages </w:t>
            </w:r>
          </w:p>
        </w:tc>
        <w:tc>
          <w:tcPr>
            <w:tcW w:w="5882" w:type="dxa"/>
            <w:shd w:val="clear" w:color="auto" w:fill="auto"/>
          </w:tcPr>
          <w:p w14:paraId="4672C845" w14:textId="77777777" w:rsidR="00FD6C7F" w:rsidRPr="005C1639" w:rsidRDefault="00FD6C7F" w:rsidP="00FD6C7F">
            <w:pPr>
              <w:rPr>
                <w:rFonts w:asciiTheme="majorHAnsi" w:hAnsiTheme="majorHAnsi"/>
                <w:color w:val="000000" w:themeColor="text1"/>
                <w:szCs w:val="20"/>
              </w:rPr>
            </w:pPr>
            <w:r w:rsidRPr="005C1639">
              <w:rPr>
                <w:rFonts w:asciiTheme="majorHAnsi" w:hAnsiTheme="majorHAnsi"/>
                <w:color w:val="000000" w:themeColor="text1"/>
                <w:szCs w:val="20"/>
              </w:rPr>
              <w:t xml:space="preserve">More details: </w:t>
            </w:r>
            <w:r w:rsidR="00382F7E">
              <w:t>pwc.com/</w:t>
            </w:r>
            <w:proofErr w:type="spellStart"/>
            <w:r w:rsidR="00382F7E">
              <w:t>assetmanagement</w:t>
            </w:r>
            <w:proofErr w:type="spellEnd"/>
            <w:r w:rsidR="00382F7E">
              <w:t xml:space="preserve"> </w:t>
            </w:r>
          </w:p>
          <w:p w14:paraId="3C79E44C" w14:textId="77777777" w:rsidR="00FD6C7F" w:rsidRPr="005C1639" w:rsidRDefault="0066766D" w:rsidP="00FD6C7F">
            <w:pPr>
              <w:ind w:right="-90"/>
              <w:rPr>
                <w:rFonts w:asciiTheme="majorHAnsi" w:hAnsiTheme="majorHAnsi"/>
                <w:color w:val="000000" w:themeColor="text1"/>
                <w:szCs w:val="20"/>
              </w:rPr>
            </w:pPr>
            <w:r>
              <w:rPr>
                <w:rFonts w:asciiTheme="majorHAnsi" w:hAnsiTheme="majorHAnsi"/>
                <w:color w:val="000000" w:themeColor="text1"/>
                <w:szCs w:val="20"/>
              </w:rPr>
              <w:t>Follow/retweet: @PwC</w:t>
            </w:r>
          </w:p>
          <w:p w14:paraId="2B37FA4C" w14:textId="77777777" w:rsidR="00934826" w:rsidRPr="005C1639" w:rsidRDefault="00934826" w:rsidP="0039030D">
            <w:pPr>
              <w:rPr>
                <w:rFonts w:asciiTheme="majorHAnsi" w:hAnsiTheme="majorHAnsi"/>
                <w:szCs w:val="20"/>
              </w:rPr>
            </w:pPr>
          </w:p>
          <w:p w14:paraId="1D8A026A" w14:textId="128A10B3" w:rsidR="008507E3" w:rsidRPr="005C1639" w:rsidRDefault="00A92DD1" w:rsidP="0039030D">
            <w:pPr>
              <w:rPr>
                <w:rFonts w:asciiTheme="majorHAnsi" w:hAnsiTheme="majorHAnsi"/>
                <w:szCs w:val="20"/>
              </w:rPr>
            </w:pPr>
            <w:r>
              <w:rPr>
                <w:rFonts w:asciiTheme="majorHAnsi" w:hAnsiTheme="majorHAnsi"/>
                <w:szCs w:val="20"/>
              </w:rPr>
              <w:t>4</w:t>
            </w:r>
          </w:p>
        </w:tc>
      </w:tr>
    </w:tbl>
    <w:p w14:paraId="46939C31" w14:textId="55AF717A" w:rsidR="008507E3" w:rsidRPr="00A40DB7" w:rsidRDefault="00A63E62" w:rsidP="00A40DB7">
      <w:pPr>
        <w:spacing w:line="240" w:lineRule="auto"/>
        <w:jc w:val="center"/>
        <w:rPr>
          <w:rFonts w:asciiTheme="majorHAnsi" w:hAnsiTheme="majorHAnsi" w:cs="Arial"/>
          <w:szCs w:val="20"/>
          <w:lang w:val="en"/>
        </w:rPr>
      </w:pPr>
      <w:r w:rsidRPr="001A64C4">
        <w:rPr>
          <w:noProof/>
          <w:lang w:val="en-US"/>
        </w:rPr>
        <mc:AlternateContent>
          <mc:Choice Requires="wps">
            <w:drawing>
              <wp:anchor distT="4294967293" distB="4294967293" distL="114300" distR="114300" simplePos="0" relativeHeight="251659264" behindDoc="0" locked="0" layoutInCell="1" allowOverlap="1" wp14:anchorId="7FBF9CA4" wp14:editId="7AA5398F">
                <wp:simplePos x="0" y="0"/>
                <wp:positionH relativeFrom="margin">
                  <wp:align>center</wp:align>
                </wp:positionH>
                <wp:positionV relativeFrom="page">
                  <wp:posOffset>3746452</wp:posOffset>
                </wp:positionV>
                <wp:extent cx="5779135" cy="0"/>
                <wp:effectExtent l="0" t="0" r="3111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135" cy="0"/>
                        </a:xfrm>
                        <a:prstGeom prst="line">
                          <a:avLst/>
                        </a:prstGeom>
                        <a:noFill/>
                        <a:ln w="12700">
                          <a:solidFill>
                            <a:schemeClr val="tx2"/>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488F7" id="Line 3"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page;mso-width-percent:0;mso-height-percent:0;mso-width-relative:page;mso-height-relative:page" from="0,295pt" to="455.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" strokecolor="#dc6900 [3215]" strokeweight="1pt">
                <w10:wrap anchorx="margin" anchory="page"/>
              </v:line>
            </w:pict>
          </mc:Fallback>
        </mc:AlternateContent>
      </w:r>
      <w:r w:rsidR="00934826" w:rsidRPr="005C1639">
        <w:rPr>
          <w:rFonts w:asciiTheme="majorHAnsi" w:hAnsiTheme="majorHAnsi" w:cs="Arial"/>
          <w:b/>
          <w:i/>
          <w:iCs/>
          <w:szCs w:val="20"/>
        </w:rPr>
        <w:br w:type="textWrapping" w:clear="all"/>
      </w:r>
    </w:p>
    <w:p w14:paraId="27DBDD91" w14:textId="330FE179" w:rsidR="00A40DB7" w:rsidRDefault="00A40DB7" w:rsidP="00190998">
      <w:pPr>
        <w:rPr>
          <w:b/>
          <w:sz w:val="28"/>
          <w:szCs w:val="28"/>
          <w:lang w:val="en-US"/>
        </w:rPr>
      </w:pPr>
    </w:p>
    <w:p w14:paraId="38CFCE61" w14:textId="77777777" w:rsidR="00A40DB7" w:rsidRPr="00A40DB7" w:rsidRDefault="00382F7E" w:rsidP="00A40DB7">
      <w:pPr>
        <w:jc w:val="center"/>
        <w:rPr>
          <w:b/>
          <w:sz w:val="28"/>
          <w:szCs w:val="28"/>
          <w:lang w:val="en-US"/>
        </w:rPr>
      </w:pPr>
      <w:r>
        <w:rPr>
          <w:b/>
          <w:sz w:val="28"/>
          <w:szCs w:val="28"/>
          <w:lang w:val="en-US"/>
        </w:rPr>
        <w:t>Global A</w:t>
      </w:r>
      <w:r w:rsidR="00CB2771">
        <w:rPr>
          <w:b/>
          <w:sz w:val="28"/>
          <w:szCs w:val="28"/>
          <w:lang w:val="en-US"/>
        </w:rPr>
        <w:t>ssets under Management set to rise to $145.4 trillion by 2025</w:t>
      </w:r>
    </w:p>
    <w:p w14:paraId="172D3CC0" w14:textId="77777777" w:rsidR="00A40DB7" w:rsidRDefault="00A40DB7" w:rsidP="00A40DB7">
      <w:pPr>
        <w:rPr>
          <w:lang w:val="en-US"/>
        </w:rPr>
      </w:pPr>
    </w:p>
    <w:p w14:paraId="23000FEB" w14:textId="725BE1A3" w:rsidR="00C03AEA" w:rsidRDefault="008A2CCB" w:rsidP="00C03AEA">
      <w:pPr>
        <w:pStyle w:val="BodyText"/>
        <w:rPr>
          <w:lang w:val="en-US"/>
        </w:rPr>
      </w:pPr>
      <w:r>
        <w:t>In a new report ‘</w:t>
      </w:r>
      <w:r w:rsidRPr="00117CFE">
        <w:rPr>
          <w:i/>
        </w:rPr>
        <w:t>Asset &amp; Wealth Management Revolution: Embracing Exponential Change</w:t>
      </w:r>
      <w:r>
        <w:t>’, PwC</w:t>
      </w:r>
      <w:r w:rsidRPr="002856C2">
        <w:t xml:space="preserve"> anticipate</w:t>
      </w:r>
      <w:r>
        <w:t>s</w:t>
      </w:r>
      <w:r w:rsidRPr="002856C2">
        <w:t xml:space="preserve"> that </w:t>
      </w:r>
      <w:r>
        <w:t xml:space="preserve">global </w:t>
      </w:r>
      <w:r w:rsidRPr="001A3B91">
        <w:t xml:space="preserve">Assets under Management </w:t>
      </w:r>
      <w:r>
        <w:t>(</w:t>
      </w:r>
      <w:proofErr w:type="spellStart"/>
      <w:r w:rsidRPr="002856C2">
        <w:t>AuM</w:t>
      </w:r>
      <w:proofErr w:type="spellEnd"/>
      <w:r>
        <w:t>) will almost double in size</w:t>
      </w:r>
      <w:r w:rsidRPr="00E05B14">
        <w:t xml:space="preserve"> </w:t>
      </w:r>
      <w:r>
        <w:t>by 2025,</w:t>
      </w:r>
      <w:r w:rsidRPr="001A3B91">
        <w:t xml:space="preserve"> </w:t>
      </w:r>
      <w:r>
        <w:t>from US$84.9 trillion in 2016 to US$111.2 trillion by 2020, and then again</w:t>
      </w:r>
      <w:r w:rsidR="00A92DD1">
        <w:t xml:space="preserve"> to US$145.4 trillion by 2025. While t</w:t>
      </w:r>
      <w:r>
        <w:t>he</w:t>
      </w:r>
      <w:r w:rsidR="00681864">
        <w:t xml:space="preserve"> </w:t>
      </w:r>
      <w:r w:rsidR="00C10B06">
        <w:rPr>
          <w:lang w:val="en-US"/>
        </w:rPr>
        <w:t xml:space="preserve">report </w:t>
      </w:r>
      <w:r w:rsidR="00E05B14">
        <w:rPr>
          <w:lang w:val="en-US"/>
        </w:rPr>
        <w:t xml:space="preserve">predicts rapid growth for </w:t>
      </w:r>
      <w:r w:rsidR="00716CB7">
        <w:rPr>
          <w:lang w:val="en-US"/>
        </w:rPr>
        <w:t>the a</w:t>
      </w:r>
      <w:r w:rsidR="00117CFE">
        <w:rPr>
          <w:lang w:val="en-US"/>
        </w:rPr>
        <w:t>sset</w:t>
      </w:r>
      <w:r w:rsidR="00E05B14" w:rsidRPr="008459FE">
        <w:rPr>
          <w:lang w:val="en-US"/>
        </w:rPr>
        <w:t xml:space="preserve"> </w:t>
      </w:r>
      <w:r w:rsidR="00117CFE">
        <w:rPr>
          <w:lang w:val="en-US"/>
        </w:rPr>
        <w:t xml:space="preserve">&amp; </w:t>
      </w:r>
      <w:r w:rsidR="00716CB7">
        <w:rPr>
          <w:lang w:val="en-US"/>
        </w:rPr>
        <w:t>w</w:t>
      </w:r>
      <w:r w:rsidR="00E05B14" w:rsidRPr="008459FE">
        <w:rPr>
          <w:lang w:val="en-US"/>
        </w:rPr>
        <w:t xml:space="preserve">ealth </w:t>
      </w:r>
      <w:r w:rsidR="00716CB7">
        <w:rPr>
          <w:lang w:val="en-US"/>
        </w:rPr>
        <w:t>m</w:t>
      </w:r>
      <w:r w:rsidR="00E05B14" w:rsidRPr="008459FE">
        <w:rPr>
          <w:lang w:val="en-US"/>
        </w:rPr>
        <w:t>anagement industry</w:t>
      </w:r>
      <w:r w:rsidR="00A92DD1">
        <w:rPr>
          <w:lang w:val="en-US"/>
        </w:rPr>
        <w:t>, it also</w:t>
      </w:r>
      <w:r w:rsidR="00E05B14">
        <w:rPr>
          <w:lang w:val="en-US"/>
        </w:rPr>
        <w:t xml:space="preserve"> </w:t>
      </w:r>
      <w:r w:rsidR="00C10B06">
        <w:rPr>
          <w:lang w:val="en-US"/>
        </w:rPr>
        <w:t>warns</w:t>
      </w:r>
      <w:r w:rsidR="00117CFE">
        <w:rPr>
          <w:lang w:val="en-US"/>
        </w:rPr>
        <w:t xml:space="preserve"> </w:t>
      </w:r>
      <w:r>
        <w:rPr>
          <w:lang w:val="en-US"/>
        </w:rPr>
        <w:t xml:space="preserve">that </w:t>
      </w:r>
      <w:r w:rsidR="00A92DD1">
        <w:rPr>
          <w:lang w:val="en-US"/>
        </w:rPr>
        <w:t>firms</w:t>
      </w:r>
      <w:r w:rsidR="008459FE">
        <w:rPr>
          <w:lang w:val="en-US"/>
        </w:rPr>
        <w:t xml:space="preserve"> </w:t>
      </w:r>
      <w:r w:rsidR="00117CFE">
        <w:rPr>
          <w:lang w:val="en-US"/>
        </w:rPr>
        <w:t>need</w:t>
      </w:r>
      <w:r w:rsidR="00716CB7">
        <w:rPr>
          <w:lang w:val="en-US"/>
        </w:rPr>
        <w:t xml:space="preserve">s </w:t>
      </w:r>
      <w:r w:rsidR="00A92DD1">
        <w:rPr>
          <w:lang w:val="en-US"/>
        </w:rPr>
        <w:t>to take action now, if they’re</w:t>
      </w:r>
      <w:r w:rsidR="008459FE">
        <w:rPr>
          <w:lang w:val="en-US"/>
        </w:rPr>
        <w:t xml:space="preserve"> to survive</w:t>
      </w:r>
      <w:r w:rsidR="00716CB7">
        <w:rPr>
          <w:lang w:val="en-US"/>
        </w:rPr>
        <w:t xml:space="preserve"> </w:t>
      </w:r>
      <w:r w:rsidR="00A92DD1">
        <w:rPr>
          <w:lang w:val="en-US"/>
        </w:rPr>
        <w:t>an exponential level of change.</w:t>
      </w:r>
    </w:p>
    <w:p w14:paraId="0C09C0AD" w14:textId="466A951F" w:rsidR="00C03AEA" w:rsidRDefault="00C03AEA" w:rsidP="00C03AEA">
      <w:pPr>
        <w:pStyle w:val="BodyText"/>
      </w:pPr>
      <w:r>
        <w:t>Olwyn Alexander, PwC’s Global Asset &amp; Wealth Management Leader, says:</w:t>
      </w:r>
    </w:p>
    <w:p w14:paraId="6D316378" w14:textId="57704046" w:rsidR="00C03AEA" w:rsidRDefault="00C03AEA" w:rsidP="00C03AEA">
      <w:pPr>
        <w:autoSpaceDE w:val="0"/>
        <w:autoSpaceDN w:val="0"/>
        <w:adjustRightInd w:val="0"/>
        <w:spacing w:line="240" w:lineRule="auto"/>
        <w:ind w:left="720"/>
        <w:rPr>
          <w:rFonts w:asciiTheme="majorHAnsi" w:hAnsiTheme="majorHAnsi" w:cs="CharterITC-Regu"/>
          <w:color w:val="000000" w:themeColor="text1"/>
          <w:szCs w:val="20"/>
        </w:rPr>
      </w:pPr>
      <w:r>
        <w:rPr>
          <w:rFonts w:asciiTheme="majorHAnsi" w:eastAsiaTheme="minorHAnsi" w:hAnsiTheme="majorHAnsi" w:cs="CharterITC-Regu"/>
          <w:color w:val="000000" w:themeColor="text1"/>
          <w:szCs w:val="20"/>
        </w:rPr>
        <w:t xml:space="preserve">“Asset managers can take advantage of this </w:t>
      </w:r>
      <w:r w:rsidR="008C2E8A">
        <w:rPr>
          <w:rFonts w:asciiTheme="majorHAnsi" w:eastAsiaTheme="minorHAnsi" w:hAnsiTheme="majorHAnsi" w:cs="CharterITC-Regu"/>
          <w:color w:val="000000" w:themeColor="text1"/>
          <w:szCs w:val="20"/>
        </w:rPr>
        <w:t>massive</w:t>
      </w:r>
      <w:r w:rsidRPr="00681864">
        <w:rPr>
          <w:rFonts w:asciiTheme="majorHAnsi" w:eastAsiaTheme="minorHAnsi" w:hAnsiTheme="majorHAnsi" w:cs="CharterITC-Regu"/>
          <w:color w:val="000000" w:themeColor="text1"/>
          <w:szCs w:val="20"/>
        </w:rPr>
        <w:t xml:space="preserve"> </w:t>
      </w:r>
      <w:r>
        <w:rPr>
          <w:rFonts w:asciiTheme="majorHAnsi" w:eastAsiaTheme="minorHAnsi" w:hAnsiTheme="majorHAnsi" w:cs="CharterITC-Regu"/>
          <w:color w:val="000000" w:themeColor="text1"/>
          <w:szCs w:val="20"/>
        </w:rPr>
        <w:t xml:space="preserve">global growth opportunity </w:t>
      </w:r>
      <w:r w:rsidRPr="00681864">
        <w:rPr>
          <w:rFonts w:asciiTheme="majorHAnsi" w:eastAsiaTheme="minorHAnsi" w:hAnsiTheme="majorHAnsi" w:cs="CharterITC-Regu"/>
          <w:color w:val="000000" w:themeColor="text1"/>
          <w:szCs w:val="20"/>
        </w:rPr>
        <w:t>if they’re innovative</w:t>
      </w:r>
      <w:r>
        <w:rPr>
          <w:rFonts w:asciiTheme="majorHAnsi" w:eastAsiaTheme="minorHAnsi" w:hAnsiTheme="majorHAnsi" w:cs="CharterITC-Regu"/>
          <w:color w:val="000000" w:themeColor="text1"/>
          <w:szCs w:val="20"/>
        </w:rPr>
        <w:t>. But it’s do or die, and t</w:t>
      </w:r>
      <w:r w:rsidRPr="003F7D58">
        <w:rPr>
          <w:rFonts w:asciiTheme="majorHAnsi" w:eastAsiaTheme="minorHAnsi" w:hAnsiTheme="majorHAnsi" w:cs="CharterITC-Regu"/>
          <w:color w:val="000000" w:themeColor="text1"/>
          <w:szCs w:val="20"/>
        </w:rPr>
        <w:t>here will be a ‘great divide’ between few have’s and many have not’</w:t>
      </w:r>
      <w:r>
        <w:rPr>
          <w:rFonts w:asciiTheme="majorHAnsi" w:eastAsiaTheme="minorHAnsi" w:hAnsiTheme="majorHAnsi" w:cs="CharterITC-Regu"/>
          <w:color w:val="000000" w:themeColor="text1"/>
          <w:szCs w:val="20"/>
        </w:rPr>
        <w:t>s</w:t>
      </w:r>
      <w:r w:rsidRPr="00681864">
        <w:rPr>
          <w:rFonts w:asciiTheme="majorHAnsi" w:eastAsiaTheme="minorHAnsi" w:hAnsiTheme="majorHAnsi" w:cs="CharterITC-Regu"/>
          <w:color w:val="000000" w:themeColor="text1"/>
          <w:szCs w:val="20"/>
        </w:rPr>
        <w:t>.</w:t>
      </w:r>
      <w:r>
        <w:rPr>
          <w:rFonts w:asciiTheme="majorHAnsi" w:eastAsiaTheme="minorHAnsi" w:hAnsiTheme="majorHAnsi" w:cs="CharterITC-Regu"/>
          <w:color w:val="000000" w:themeColor="text1"/>
          <w:szCs w:val="20"/>
        </w:rPr>
        <w:t xml:space="preserve"> As a result, t</w:t>
      </w:r>
      <w:r w:rsidRPr="00681864">
        <w:rPr>
          <w:rFonts w:asciiTheme="majorHAnsi" w:eastAsiaTheme="minorHAnsi" w:hAnsiTheme="majorHAnsi" w:cs="CharterITC-Regu"/>
          <w:color w:val="000000" w:themeColor="text1"/>
          <w:szCs w:val="20"/>
        </w:rPr>
        <w:t>hings will look very different in five to ten years’ time and we expect to see fewer firms managing far more assets significantly more cheaply</w:t>
      </w:r>
      <w:r w:rsidRPr="00681864">
        <w:rPr>
          <w:rFonts w:asciiTheme="majorHAnsi" w:hAnsiTheme="majorHAnsi" w:cs="CharterITC-Regu"/>
          <w:color w:val="000000" w:themeColor="text1"/>
          <w:szCs w:val="20"/>
        </w:rPr>
        <w:t>.</w:t>
      </w:r>
      <w:r w:rsidR="00337DB2">
        <w:rPr>
          <w:rFonts w:asciiTheme="majorHAnsi" w:hAnsiTheme="majorHAnsi" w:cs="CharterITC-Regu"/>
          <w:color w:val="000000" w:themeColor="text1"/>
          <w:szCs w:val="20"/>
        </w:rPr>
        <w:t>”</w:t>
      </w:r>
      <w:bookmarkStart w:id="0" w:name="_GoBack"/>
      <w:bookmarkEnd w:id="0"/>
      <w:r w:rsidRPr="00681864">
        <w:rPr>
          <w:rFonts w:asciiTheme="majorHAnsi" w:hAnsiTheme="majorHAnsi" w:cs="CharterITC-Regu"/>
          <w:color w:val="000000" w:themeColor="text1"/>
          <w:szCs w:val="20"/>
        </w:rPr>
        <w:t xml:space="preserve"> </w:t>
      </w:r>
    </w:p>
    <w:p w14:paraId="00E06639" w14:textId="77777777" w:rsidR="008459FE" w:rsidRDefault="008459FE" w:rsidP="00A40DB7">
      <w:pPr>
        <w:rPr>
          <w:lang w:val="en-US"/>
        </w:rPr>
      </w:pPr>
    </w:p>
    <w:p w14:paraId="3BBE52ED" w14:textId="77777777" w:rsidR="00A40DB7" w:rsidRPr="001276EC" w:rsidRDefault="00A40DB7" w:rsidP="00A40DB7">
      <w:pPr>
        <w:rPr>
          <w:b/>
          <w:i/>
          <w:lang w:val="en-US"/>
        </w:rPr>
      </w:pPr>
      <w:r w:rsidRPr="001276EC">
        <w:rPr>
          <w:b/>
          <w:i/>
          <w:lang w:val="en-US"/>
        </w:rPr>
        <w:t>Key findings</w:t>
      </w:r>
    </w:p>
    <w:p w14:paraId="0F802D1C" w14:textId="77777777" w:rsidR="00A40DB7" w:rsidRPr="001276EC" w:rsidRDefault="00A40DB7" w:rsidP="00A40DB7">
      <w:pPr>
        <w:rPr>
          <w:i/>
          <w:lang w:val="en-US"/>
        </w:rPr>
      </w:pPr>
    </w:p>
    <w:p w14:paraId="434F5666" w14:textId="175D8734" w:rsidR="008459FE" w:rsidRPr="00A77C62" w:rsidRDefault="008459FE" w:rsidP="00A40DB7">
      <w:pPr>
        <w:pStyle w:val="BodyText"/>
        <w:numPr>
          <w:ilvl w:val="0"/>
          <w:numId w:val="21"/>
        </w:numPr>
        <w:rPr>
          <w:i/>
          <w:lang w:val="en-US"/>
        </w:rPr>
      </w:pPr>
      <w:r>
        <w:rPr>
          <w:i/>
          <w:lang w:val="en-US"/>
        </w:rPr>
        <w:t>B</w:t>
      </w:r>
      <w:r w:rsidRPr="008459FE">
        <w:rPr>
          <w:i/>
        </w:rPr>
        <w:t>y 2025</w:t>
      </w:r>
      <w:r w:rsidR="00A77C62">
        <w:rPr>
          <w:i/>
        </w:rPr>
        <w:t>,</w:t>
      </w:r>
      <w:r w:rsidRPr="008459FE">
        <w:rPr>
          <w:i/>
        </w:rPr>
        <w:t xml:space="preserve"> </w:t>
      </w:r>
      <w:proofErr w:type="spellStart"/>
      <w:r w:rsidRPr="008459FE">
        <w:rPr>
          <w:i/>
        </w:rPr>
        <w:t>AuM</w:t>
      </w:r>
      <w:proofErr w:type="spellEnd"/>
      <w:r w:rsidRPr="008459FE">
        <w:rPr>
          <w:i/>
        </w:rPr>
        <w:t xml:space="preserve"> will have almost doubled – rising </w:t>
      </w:r>
      <w:r w:rsidR="003958F0">
        <w:rPr>
          <w:i/>
        </w:rPr>
        <w:t xml:space="preserve">by 6.2% </w:t>
      </w:r>
      <w:r w:rsidR="00893545">
        <w:rPr>
          <w:i/>
        </w:rPr>
        <w:t xml:space="preserve">a year, </w:t>
      </w:r>
      <w:r w:rsidRPr="008459FE">
        <w:rPr>
          <w:i/>
        </w:rPr>
        <w:t>from US$84.9 trillion in 2016 to U</w:t>
      </w:r>
      <w:r w:rsidR="001A3B91">
        <w:rPr>
          <w:i/>
        </w:rPr>
        <w:t>S$145.4 trillion in 2025</w:t>
      </w:r>
      <w:r w:rsidR="00893545">
        <w:rPr>
          <w:i/>
        </w:rPr>
        <w:t xml:space="preserve">, </w:t>
      </w:r>
      <w:r w:rsidR="00716CB7">
        <w:rPr>
          <w:i/>
        </w:rPr>
        <w:t xml:space="preserve">with the fastest growth seen in </w:t>
      </w:r>
      <w:r w:rsidR="003958F0">
        <w:rPr>
          <w:i/>
        </w:rPr>
        <w:t>the developing markets of Latin America and Asia Pacific</w:t>
      </w:r>
      <w:r w:rsidR="00716CB7">
        <w:rPr>
          <w:i/>
        </w:rPr>
        <w:t>.</w:t>
      </w:r>
    </w:p>
    <w:p w14:paraId="26E7EE86" w14:textId="22D9930B" w:rsidR="003958F0" w:rsidRPr="00681864" w:rsidRDefault="00371EF7" w:rsidP="00681864">
      <w:pPr>
        <w:pStyle w:val="BodyText"/>
        <w:numPr>
          <w:ilvl w:val="0"/>
          <w:numId w:val="21"/>
        </w:numPr>
        <w:rPr>
          <w:i/>
          <w:lang w:val="en-US"/>
        </w:rPr>
      </w:pPr>
      <w:r w:rsidRPr="008459FE">
        <w:rPr>
          <w:i/>
        </w:rPr>
        <w:t>While active management will cont</w:t>
      </w:r>
      <w:r>
        <w:rPr>
          <w:i/>
        </w:rPr>
        <w:t xml:space="preserve">inue to </w:t>
      </w:r>
      <w:r w:rsidR="003958F0">
        <w:rPr>
          <w:i/>
        </w:rPr>
        <w:t xml:space="preserve">grow and </w:t>
      </w:r>
      <w:r>
        <w:rPr>
          <w:i/>
        </w:rPr>
        <w:t>play an important role,</w:t>
      </w:r>
      <w:r w:rsidR="003958F0">
        <w:rPr>
          <w:i/>
        </w:rPr>
        <w:t xml:space="preserve"> reaching $87.6 trillion by 2025 (60% of global </w:t>
      </w:r>
      <w:proofErr w:type="spellStart"/>
      <w:r w:rsidR="003958F0">
        <w:rPr>
          <w:i/>
        </w:rPr>
        <w:t>AuM</w:t>
      </w:r>
      <w:proofErr w:type="spellEnd"/>
      <w:r w:rsidR="003958F0">
        <w:rPr>
          <w:i/>
        </w:rPr>
        <w:t xml:space="preserve">), PwC predicts growth in passive management to </w:t>
      </w:r>
      <w:r w:rsidR="004660C4">
        <w:rPr>
          <w:i/>
        </w:rPr>
        <w:t xml:space="preserve">reach </w:t>
      </w:r>
      <w:r w:rsidR="003958F0">
        <w:rPr>
          <w:i/>
        </w:rPr>
        <w:t xml:space="preserve">$36.6 trillion </w:t>
      </w:r>
      <w:r w:rsidR="004660C4">
        <w:rPr>
          <w:i/>
        </w:rPr>
        <w:t xml:space="preserve">by 2025 </w:t>
      </w:r>
      <w:r w:rsidR="003958F0">
        <w:rPr>
          <w:i/>
        </w:rPr>
        <w:t>(25%</w:t>
      </w:r>
      <w:r w:rsidR="004660C4">
        <w:rPr>
          <w:i/>
        </w:rPr>
        <w:t xml:space="preserve"> of global </w:t>
      </w:r>
      <w:proofErr w:type="spellStart"/>
      <w:r w:rsidR="004660C4">
        <w:rPr>
          <w:i/>
        </w:rPr>
        <w:t>AuM</w:t>
      </w:r>
      <w:proofErr w:type="spellEnd"/>
      <w:r w:rsidR="003958F0">
        <w:rPr>
          <w:i/>
        </w:rPr>
        <w:t>).</w:t>
      </w:r>
    </w:p>
    <w:p w14:paraId="2F8FC1EA" w14:textId="53DF6795" w:rsidR="003958F0" w:rsidRPr="00681864" w:rsidRDefault="003958F0" w:rsidP="003958F0">
      <w:pPr>
        <w:pStyle w:val="BodyText"/>
        <w:numPr>
          <w:ilvl w:val="0"/>
          <w:numId w:val="21"/>
        </w:numPr>
        <w:rPr>
          <w:rFonts w:asciiTheme="majorHAnsi" w:hAnsiTheme="majorHAnsi"/>
          <w:i/>
          <w:lang w:val="en-US"/>
        </w:rPr>
      </w:pPr>
      <w:r w:rsidRPr="00681864">
        <w:rPr>
          <w:rFonts w:asciiTheme="majorHAnsi" w:hAnsiTheme="majorHAnsi"/>
          <w:i/>
        </w:rPr>
        <w:t>A</w:t>
      </w:r>
      <w:r w:rsidRPr="00681864">
        <w:rPr>
          <w:rFonts w:asciiTheme="majorHAnsi" w:hAnsiTheme="majorHAnsi" w:cs="CharterITC-Regu"/>
          <w:i/>
        </w:rPr>
        <w:t>lternative asset classes – in particular, real assets, private equity and private debt – will more than double in size</w:t>
      </w:r>
      <w:r>
        <w:rPr>
          <w:rFonts w:asciiTheme="majorHAnsi" w:hAnsiTheme="majorHAnsi" w:cs="CharterITC-Regu"/>
          <w:i/>
        </w:rPr>
        <w:t xml:space="preserve">, reaching $21.1 trillion by 2025, accounting for 15% of global </w:t>
      </w:r>
      <w:proofErr w:type="spellStart"/>
      <w:r>
        <w:rPr>
          <w:rFonts w:asciiTheme="majorHAnsi" w:hAnsiTheme="majorHAnsi" w:cs="CharterITC-Regu"/>
          <w:i/>
        </w:rPr>
        <w:t>AuM</w:t>
      </w:r>
      <w:proofErr w:type="spellEnd"/>
      <w:r>
        <w:rPr>
          <w:rFonts w:asciiTheme="majorHAnsi" w:hAnsiTheme="majorHAnsi" w:cs="CharterITC-Regu"/>
          <w:i/>
        </w:rPr>
        <w:t xml:space="preserve">. </w:t>
      </w:r>
    </w:p>
    <w:p w14:paraId="0FFC751F" w14:textId="2EB0C4ED" w:rsidR="00C10B06" w:rsidRPr="00681864" w:rsidRDefault="00716CB7" w:rsidP="00681864">
      <w:pPr>
        <w:pStyle w:val="BodyText"/>
        <w:numPr>
          <w:ilvl w:val="0"/>
          <w:numId w:val="21"/>
        </w:numPr>
        <w:rPr>
          <w:i/>
          <w:lang w:val="en-US"/>
        </w:rPr>
      </w:pPr>
      <w:r>
        <w:rPr>
          <w:i/>
          <w:lang w:val="en-US"/>
        </w:rPr>
        <w:t xml:space="preserve">There is a ‘great divide’ between asset and wealth managers who have acted to ensure they are fit for </w:t>
      </w:r>
      <w:r w:rsidR="00681864">
        <w:rPr>
          <w:i/>
          <w:lang w:val="en-US"/>
        </w:rPr>
        <w:t>growth, and those who have not.</w:t>
      </w:r>
    </w:p>
    <w:p w14:paraId="6325EE31" w14:textId="77777777" w:rsidR="008459FE" w:rsidRDefault="00C10B06" w:rsidP="00A40DB7">
      <w:pPr>
        <w:pStyle w:val="BodyText"/>
        <w:numPr>
          <w:ilvl w:val="0"/>
          <w:numId w:val="21"/>
        </w:numPr>
        <w:rPr>
          <w:i/>
          <w:lang w:val="en-US"/>
        </w:rPr>
      </w:pPr>
      <w:r>
        <w:rPr>
          <w:i/>
          <w:lang w:val="en-US"/>
        </w:rPr>
        <w:t>The industry’s in</w:t>
      </w:r>
      <w:r w:rsidR="008459FE" w:rsidRPr="008459FE">
        <w:rPr>
          <w:i/>
        </w:rPr>
        <w:t>volvement in niche areas such as trade finance, peer-to-peer lending and infrastructure will dramatically increase.</w:t>
      </w:r>
    </w:p>
    <w:p w14:paraId="004A8184" w14:textId="77777777" w:rsidR="00A63E62" w:rsidRDefault="00A63E62" w:rsidP="00A63E62"/>
    <w:p w14:paraId="58D63E0F" w14:textId="7DF021B8" w:rsidR="00E34162" w:rsidRDefault="00E34162" w:rsidP="00A63E62">
      <w:r w:rsidRPr="00E34162">
        <w:lastRenderedPageBreak/>
        <w:t xml:space="preserve">Olwyn </w:t>
      </w:r>
      <w:r w:rsidR="00C03AEA" w:rsidRPr="00E34162">
        <w:t xml:space="preserve">Alexander </w:t>
      </w:r>
      <w:r w:rsidRPr="00E34162">
        <w:t>further comments:</w:t>
      </w:r>
    </w:p>
    <w:p w14:paraId="45574732" w14:textId="77777777" w:rsidR="00A63E62" w:rsidRDefault="00A63E62" w:rsidP="00A63E62"/>
    <w:p w14:paraId="11D73107" w14:textId="77777777" w:rsidR="00E34162" w:rsidRDefault="00C03AEA" w:rsidP="00A63E62">
      <w:pPr>
        <w:ind w:left="720"/>
      </w:pPr>
      <w:r w:rsidRPr="00E34162">
        <w:t>“The industry must act in three areas. First, asset and wealth managers must be prepared for success in some areas and failure in others. This means they should reorganise their business structure to support their differentiating capabilities and to cut costs elsewhere. Second, every firm must embrace technology, as it impacts all functions and will determine if they win or lose in this fast-changing landscape. And thirdly, different skills are needed, backed by new employment models. Finding, nurturing and retaining the right people will be absolutely vital as the industry reinvents itself.”</w:t>
      </w:r>
    </w:p>
    <w:p w14:paraId="68C03538" w14:textId="77777777" w:rsidR="00E34162" w:rsidRDefault="00E34162" w:rsidP="00E34162">
      <w:pPr>
        <w:autoSpaceDE w:val="0"/>
        <w:autoSpaceDN w:val="0"/>
        <w:adjustRightInd w:val="0"/>
        <w:spacing w:line="240" w:lineRule="auto"/>
        <w:rPr>
          <w:rFonts w:asciiTheme="majorHAnsi" w:hAnsiTheme="majorHAnsi"/>
          <w:color w:val="000000" w:themeColor="text1"/>
          <w:szCs w:val="20"/>
        </w:rPr>
      </w:pPr>
    </w:p>
    <w:p w14:paraId="4F3CE3DE" w14:textId="77777777" w:rsidR="00E34162" w:rsidRDefault="00681864" w:rsidP="00E34162">
      <w:pPr>
        <w:autoSpaceDE w:val="0"/>
        <w:autoSpaceDN w:val="0"/>
        <w:adjustRightInd w:val="0"/>
        <w:spacing w:line="240" w:lineRule="auto"/>
        <w:rPr>
          <w:b/>
        </w:rPr>
      </w:pPr>
      <w:r w:rsidRPr="00117CFE">
        <w:rPr>
          <w:b/>
        </w:rPr>
        <w:t>Set for rapid, if uneven, growth</w:t>
      </w:r>
    </w:p>
    <w:p w14:paraId="5C2C7D66" w14:textId="77777777" w:rsidR="00E34162" w:rsidRDefault="00E34162" w:rsidP="00E34162">
      <w:pPr>
        <w:autoSpaceDE w:val="0"/>
        <w:autoSpaceDN w:val="0"/>
        <w:adjustRightInd w:val="0"/>
        <w:spacing w:line="240" w:lineRule="auto"/>
        <w:rPr>
          <w:b/>
        </w:rPr>
      </w:pPr>
    </w:p>
    <w:p w14:paraId="46C4953D" w14:textId="77777777" w:rsidR="00E34162" w:rsidRDefault="002856C2" w:rsidP="00E34162">
      <w:pPr>
        <w:autoSpaceDE w:val="0"/>
        <w:autoSpaceDN w:val="0"/>
        <w:adjustRightInd w:val="0"/>
        <w:spacing w:line="240" w:lineRule="auto"/>
      </w:pPr>
      <w:r w:rsidRPr="002856C2">
        <w:t xml:space="preserve">The burgeoning wealth of high-net worth individuals and the mass affluent, as well as a pronounced shift to defined contribution retirement saving, are propelling huge growth in the </w:t>
      </w:r>
      <w:r w:rsidR="00392415">
        <w:t>Asset &amp;</w:t>
      </w:r>
      <w:r>
        <w:t xml:space="preserve"> Wealth Management </w:t>
      </w:r>
      <w:r w:rsidR="001A3B91">
        <w:t xml:space="preserve">industry. </w:t>
      </w:r>
    </w:p>
    <w:p w14:paraId="152BDCC0" w14:textId="77777777" w:rsidR="00E34162" w:rsidRDefault="00E34162" w:rsidP="00E34162">
      <w:pPr>
        <w:autoSpaceDE w:val="0"/>
        <w:autoSpaceDN w:val="0"/>
        <w:adjustRightInd w:val="0"/>
        <w:spacing w:line="240" w:lineRule="auto"/>
      </w:pPr>
    </w:p>
    <w:p w14:paraId="46A4ABFC" w14:textId="77777777" w:rsidR="00E34162" w:rsidRDefault="001A3B91" w:rsidP="00E34162">
      <w:pPr>
        <w:autoSpaceDE w:val="0"/>
        <w:autoSpaceDN w:val="0"/>
        <w:adjustRightInd w:val="0"/>
        <w:spacing w:line="240" w:lineRule="auto"/>
      </w:pPr>
      <w:r>
        <w:t>Retail (mutual) funds (including ETFs) will almost double assets by 2025 and institutional mandates will expand similarly. Alternative asset classes – in particular, real assets, private equity and private debt – will more than double in size, as investors diversify to reduce volatility and achieve specific outcomes.</w:t>
      </w:r>
      <w:r w:rsidR="00117CFE" w:rsidRPr="00117CFE">
        <w:t xml:space="preserve"> The industry is set to manage a greater share of </w:t>
      </w:r>
      <w:r w:rsidR="007B0A38">
        <w:t xml:space="preserve">global </w:t>
      </w:r>
      <w:r w:rsidR="007B0A38" w:rsidRPr="00117CFE">
        <w:t>retirement and pension funds</w:t>
      </w:r>
      <w:r w:rsidR="000A21F9">
        <w:t xml:space="preserve"> too</w:t>
      </w:r>
      <w:r w:rsidR="00117CFE" w:rsidRPr="00117CFE">
        <w:t>. If current growth is sustained, the industry’s penetration rate (managed assets, as a proportion of total assets) will expand from 39.6% in 2016 to 42.1% by 2025</w:t>
      </w:r>
      <w:r w:rsidR="000C4599">
        <w:t>.</w:t>
      </w:r>
    </w:p>
    <w:p w14:paraId="1BB551E7" w14:textId="77777777" w:rsidR="00E34162" w:rsidRDefault="00E34162" w:rsidP="00E34162">
      <w:pPr>
        <w:autoSpaceDE w:val="0"/>
        <w:autoSpaceDN w:val="0"/>
        <w:adjustRightInd w:val="0"/>
        <w:spacing w:line="240" w:lineRule="auto"/>
      </w:pPr>
    </w:p>
    <w:p w14:paraId="0F33F217" w14:textId="77777777" w:rsidR="00E34162" w:rsidRDefault="000C4599" w:rsidP="00E34162">
      <w:pPr>
        <w:autoSpaceDE w:val="0"/>
        <w:autoSpaceDN w:val="0"/>
        <w:adjustRightInd w:val="0"/>
        <w:spacing w:line="240" w:lineRule="auto"/>
      </w:pPr>
      <w:r>
        <w:t xml:space="preserve">PwC </w:t>
      </w:r>
      <w:r w:rsidRPr="000C4599">
        <w:t>anticipate</w:t>
      </w:r>
      <w:r>
        <w:t>s</w:t>
      </w:r>
      <w:r w:rsidRPr="000C4599">
        <w:t xml:space="preserve"> assets growing at 5.7% a year in North America from 2016 to 2020, slowing to 4.0%</w:t>
      </w:r>
      <w:r w:rsidR="00592604">
        <w:t xml:space="preserve"> per annum</w:t>
      </w:r>
      <w:r w:rsidRPr="000C4599">
        <w:t xml:space="preserve"> from 2020 to 2025, lifting assets from US$46.9 trillion to US$71.2 trillion over the nine years. Similarly, Europe is projected to grow at 8.4% and 3.4% </w:t>
      </w:r>
      <w:r w:rsidR="00592604">
        <w:t xml:space="preserve">per annum </w:t>
      </w:r>
      <w:r w:rsidRPr="000C4599">
        <w:t xml:space="preserve">respectively over the two periods, with assets rising from US$21.9 trillion to US$35.7 trillion. </w:t>
      </w:r>
    </w:p>
    <w:p w14:paraId="2DA1E88D" w14:textId="77777777" w:rsidR="00E34162" w:rsidRDefault="00E34162" w:rsidP="00E34162">
      <w:pPr>
        <w:autoSpaceDE w:val="0"/>
        <w:autoSpaceDN w:val="0"/>
        <w:adjustRightInd w:val="0"/>
        <w:spacing w:line="240" w:lineRule="auto"/>
      </w:pPr>
    </w:p>
    <w:p w14:paraId="74AC1E85" w14:textId="77777777" w:rsidR="00E34162" w:rsidRDefault="000C4599" w:rsidP="00E34162">
      <w:pPr>
        <w:autoSpaceDE w:val="0"/>
        <w:autoSpaceDN w:val="0"/>
        <w:adjustRightInd w:val="0"/>
        <w:spacing w:line="240" w:lineRule="auto"/>
      </w:pPr>
      <w:r w:rsidRPr="000C4599">
        <w:t xml:space="preserve">Developing Asia-Pacific’s dynamism is set to spur growth of 8.7% a year from 2016 to 2020, accelerating to 11.8% from 2020 to 2025. This will lift regional assets from US$12.1 trillion to US$29.6 trillion. Latin America is likely to grow at similarly rapid rates of 7.5% </w:t>
      </w:r>
      <w:r w:rsidR="00592604">
        <w:t xml:space="preserve">per annum </w:t>
      </w:r>
      <w:r>
        <w:t xml:space="preserve">from 2016 to 2020, accelerating to 10.4% </w:t>
      </w:r>
      <w:r w:rsidR="00592604">
        <w:t xml:space="preserve">a year </w:t>
      </w:r>
      <w:r>
        <w:t>from 2020 to 2025</w:t>
      </w:r>
      <w:r w:rsidRPr="000C4599">
        <w:t>. From a low base of US$3.3 trillion, the region’s assets are projected to increase to US$7.3 trillion</w:t>
      </w:r>
      <w:r>
        <w:t>.</w:t>
      </w:r>
    </w:p>
    <w:p w14:paraId="64BB31D8" w14:textId="77777777" w:rsidR="00E34162" w:rsidRDefault="00E34162" w:rsidP="00E34162">
      <w:pPr>
        <w:autoSpaceDE w:val="0"/>
        <w:autoSpaceDN w:val="0"/>
        <w:adjustRightInd w:val="0"/>
        <w:spacing w:line="240" w:lineRule="auto"/>
      </w:pPr>
    </w:p>
    <w:p w14:paraId="0B1ECC50" w14:textId="77777777" w:rsidR="00E34162" w:rsidRDefault="009366E6" w:rsidP="00E34162">
      <w:pPr>
        <w:autoSpaceDE w:val="0"/>
        <w:autoSpaceDN w:val="0"/>
        <w:adjustRightInd w:val="0"/>
        <w:spacing w:line="240" w:lineRule="auto"/>
        <w:rPr>
          <w:b/>
        </w:rPr>
      </w:pPr>
      <w:r>
        <w:rPr>
          <w:b/>
        </w:rPr>
        <w:t>Active investments</w:t>
      </w:r>
      <w:r w:rsidR="00644674">
        <w:rPr>
          <w:b/>
        </w:rPr>
        <w:t xml:space="preserve"> will continue to lose market share to passives and alternatives, but </w:t>
      </w:r>
      <w:proofErr w:type="spellStart"/>
      <w:r w:rsidR="00644674">
        <w:rPr>
          <w:b/>
        </w:rPr>
        <w:t>AuM</w:t>
      </w:r>
      <w:proofErr w:type="spellEnd"/>
      <w:r w:rsidR="00644674">
        <w:rPr>
          <w:b/>
        </w:rPr>
        <w:t xml:space="preserve"> will increase across all three lines</w:t>
      </w:r>
    </w:p>
    <w:p w14:paraId="49D2927E" w14:textId="77777777" w:rsidR="00E34162" w:rsidRDefault="00E34162" w:rsidP="00E34162">
      <w:pPr>
        <w:autoSpaceDE w:val="0"/>
        <w:autoSpaceDN w:val="0"/>
        <w:adjustRightInd w:val="0"/>
        <w:spacing w:line="240" w:lineRule="auto"/>
        <w:rPr>
          <w:b/>
        </w:rPr>
      </w:pPr>
    </w:p>
    <w:p w14:paraId="070198E6" w14:textId="77777777" w:rsidR="00E34162" w:rsidRDefault="009366E6" w:rsidP="00E34162">
      <w:pPr>
        <w:autoSpaceDE w:val="0"/>
        <w:autoSpaceDN w:val="0"/>
        <w:adjustRightInd w:val="0"/>
        <w:spacing w:line="240" w:lineRule="auto"/>
      </w:pPr>
      <w:r w:rsidRPr="009366E6">
        <w:t>Active, passive and alternative strategies are becoming building blocks for multi</w:t>
      </w:r>
      <w:r>
        <w:t>-</w:t>
      </w:r>
      <w:r w:rsidRPr="009366E6">
        <w:t xml:space="preserve">asset, outcome-based solutions. In this context, demand for passive and alternative strategies will grow, but the place for active management will remain. </w:t>
      </w:r>
    </w:p>
    <w:p w14:paraId="112D7A08" w14:textId="77777777" w:rsidR="00E34162" w:rsidRDefault="00E34162" w:rsidP="00E34162">
      <w:pPr>
        <w:autoSpaceDE w:val="0"/>
        <w:autoSpaceDN w:val="0"/>
        <w:adjustRightInd w:val="0"/>
        <w:spacing w:line="240" w:lineRule="auto"/>
      </w:pPr>
    </w:p>
    <w:p w14:paraId="49563B18" w14:textId="635363EE" w:rsidR="009366E6" w:rsidRDefault="009366E6" w:rsidP="00E34162">
      <w:pPr>
        <w:autoSpaceDE w:val="0"/>
        <w:autoSpaceDN w:val="0"/>
        <w:adjustRightInd w:val="0"/>
        <w:spacing w:line="240" w:lineRule="auto"/>
      </w:pPr>
      <w:r>
        <w:t>PwC</w:t>
      </w:r>
      <w:r w:rsidRPr="009366E6">
        <w:t xml:space="preserve"> forecast</w:t>
      </w:r>
      <w:r>
        <w:t>s</w:t>
      </w:r>
      <w:r w:rsidRPr="009366E6">
        <w:t xml:space="preserve"> that </w:t>
      </w:r>
      <w:r w:rsidR="008A2CCB">
        <w:t xml:space="preserve">funds under </w:t>
      </w:r>
      <w:r w:rsidRPr="009366E6">
        <w:t xml:space="preserve">active management will </w:t>
      </w:r>
      <w:r w:rsidR="008A2CCB">
        <w:t xml:space="preserve">climb </w:t>
      </w:r>
      <w:r w:rsidR="00893545">
        <w:t xml:space="preserve">from </w:t>
      </w:r>
      <w:r w:rsidR="00E5467C">
        <w:t>US$60</w:t>
      </w:r>
      <w:r w:rsidR="00893545">
        <w:t xml:space="preserve">.6 trillion </w:t>
      </w:r>
      <w:r w:rsidR="00E5467C">
        <w:t xml:space="preserve">in 2016 </w:t>
      </w:r>
      <w:r w:rsidR="008A2CCB">
        <w:t xml:space="preserve">to US$87.6 trillion </w:t>
      </w:r>
      <w:r w:rsidR="00E5467C">
        <w:t xml:space="preserve">by 2025, </w:t>
      </w:r>
      <w:r w:rsidR="008A2CCB">
        <w:t xml:space="preserve">but their share of overall global assets under management will decrease from 71% in 2016 to 60% by 2025. </w:t>
      </w:r>
      <w:r w:rsidRPr="009366E6">
        <w:t>Passives will gain huge market share, rising from 1</w:t>
      </w:r>
      <w:r w:rsidR="00A30F3A">
        <w:t xml:space="preserve">7% of </w:t>
      </w:r>
      <w:proofErr w:type="spellStart"/>
      <w:r w:rsidR="00A30F3A">
        <w:t>AuM</w:t>
      </w:r>
      <w:proofErr w:type="spellEnd"/>
      <w:r w:rsidR="00A30F3A">
        <w:t xml:space="preserve"> in 2016 to 25% in 2025</w:t>
      </w:r>
      <w:r w:rsidRPr="009366E6">
        <w:t xml:space="preserve">, while alternatives </w:t>
      </w:r>
      <w:r w:rsidR="00A30F3A">
        <w:t>rise</w:t>
      </w:r>
      <w:r w:rsidR="00A30F3A" w:rsidRPr="009366E6">
        <w:t xml:space="preserve"> </w:t>
      </w:r>
      <w:r w:rsidRPr="009366E6">
        <w:t xml:space="preserve">from 12% to 15%. Passives’ </w:t>
      </w:r>
      <w:proofErr w:type="spellStart"/>
      <w:r w:rsidRPr="009366E6">
        <w:t>AuM</w:t>
      </w:r>
      <w:proofErr w:type="spellEnd"/>
      <w:r w:rsidRPr="009366E6">
        <w:t xml:space="preserve"> will more than double, from US$14.2 trillion to US$36.6 trillion; alternatives from US$10.</w:t>
      </w:r>
      <w:r>
        <w:t>1 trillion to US$21.1 trillion.</w:t>
      </w:r>
    </w:p>
    <w:p w14:paraId="368C62A1" w14:textId="77777777" w:rsidR="00E34162" w:rsidRPr="00E34162" w:rsidRDefault="00E34162" w:rsidP="00E34162">
      <w:pPr>
        <w:autoSpaceDE w:val="0"/>
        <w:autoSpaceDN w:val="0"/>
        <w:adjustRightInd w:val="0"/>
        <w:spacing w:line="240" w:lineRule="auto"/>
        <w:rPr>
          <w:rFonts w:asciiTheme="majorHAnsi" w:eastAsiaTheme="minorHAnsi" w:hAnsiTheme="majorHAnsi" w:cs="CharterITC-Regu"/>
          <w:color w:val="000000" w:themeColor="text1"/>
          <w:szCs w:val="20"/>
        </w:rPr>
      </w:pPr>
    </w:p>
    <w:p w14:paraId="63C5617A" w14:textId="77777777" w:rsidR="00E34162" w:rsidRDefault="00892FFE" w:rsidP="00E34162">
      <w:r>
        <w:t>Olwyn</w:t>
      </w:r>
      <w:r w:rsidR="00E34162">
        <w:t xml:space="preserve"> Alexander says</w:t>
      </w:r>
      <w:r>
        <w:t>:</w:t>
      </w:r>
    </w:p>
    <w:p w14:paraId="05125665" w14:textId="77777777" w:rsidR="00E34162" w:rsidRDefault="00E34162" w:rsidP="00E34162"/>
    <w:p w14:paraId="426AFBD8" w14:textId="4F94C67D" w:rsidR="007D6D45" w:rsidRPr="004660C4" w:rsidRDefault="00E34162" w:rsidP="00E34162">
      <w:pPr>
        <w:ind w:left="720"/>
        <w:rPr>
          <w:color w:val="000000" w:themeColor="text1"/>
        </w:rPr>
      </w:pPr>
      <w:r w:rsidRPr="004660C4">
        <w:rPr>
          <w:color w:val="000000" w:themeColor="text1"/>
          <w:szCs w:val="20"/>
        </w:rPr>
        <w:t>“</w:t>
      </w:r>
      <w:r w:rsidR="007D6D45" w:rsidRPr="004660C4">
        <w:rPr>
          <w:rFonts w:cs="Arial"/>
          <w:color w:val="000000" w:themeColor="text1"/>
          <w:szCs w:val="20"/>
        </w:rPr>
        <w:t>In the ongoing debate of active v</w:t>
      </w:r>
      <w:r w:rsidR="004660C4">
        <w:rPr>
          <w:rFonts w:cs="Arial"/>
          <w:color w:val="000000" w:themeColor="text1"/>
          <w:szCs w:val="20"/>
        </w:rPr>
        <w:t>ersu</w:t>
      </w:r>
      <w:r w:rsidR="007D6D45" w:rsidRPr="004660C4">
        <w:rPr>
          <w:rFonts w:cs="Arial"/>
          <w:color w:val="000000" w:themeColor="text1"/>
          <w:szCs w:val="20"/>
        </w:rPr>
        <w:t>s passive investing</w:t>
      </w:r>
      <w:r w:rsidRPr="004660C4">
        <w:rPr>
          <w:rFonts w:cs="Arial"/>
          <w:color w:val="000000" w:themeColor="text1"/>
          <w:szCs w:val="20"/>
        </w:rPr>
        <w:t xml:space="preserve"> we are optimistic </w:t>
      </w:r>
      <w:r w:rsidR="007D6D45" w:rsidRPr="004660C4">
        <w:rPr>
          <w:rFonts w:cs="Arial"/>
          <w:color w:val="000000" w:themeColor="text1"/>
          <w:szCs w:val="20"/>
        </w:rPr>
        <w:t>for both. While we anticipate a faster pace of growth for passives due to greater allocations than for active, we still predict growth in active investments</w:t>
      </w:r>
      <w:r w:rsidR="004660C4">
        <w:rPr>
          <w:rFonts w:cs="Arial"/>
          <w:color w:val="000000" w:themeColor="text1"/>
          <w:szCs w:val="20"/>
        </w:rPr>
        <w:t>,</w:t>
      </w:r>
      <w:r w:rsidR="007D6D45" w:rsidRPr="004660C4">
        <w:rPr>
          <w:rFonts w:cs="Arial"/>
          <w:color w:val="000000" w:themeColor="text1"/>
          <w:szCs w:val="20"/>
        </w:rPr>
        <w:t xml:space="preserve"> which will continue to preserve active management’s dominant market share. It is important to remember that in a rising market passive returns are very attractive at a low cost but that inevitable market corrections will bring a continued appreciation for the value of active investments. Both will be key building blocks in balanced portfolios to meet specific investor outcomes.</w:t>
      </w:r>
      <w:r w:rsidRPr="004660C4">
        <w:rPr>
          <w:rFonts w:cs="Arial"/>
          <w:color w:val="000000" w:themeColor="text1"/>
          <w:szCs w:val="20"/>
        </w:rPr>
        <w:t>”</w:t>
      </w:r>
    </w:p>
    <w:p w14:paraId="25D1EB09" w14:textId="5E0403B6" w:rsidR="00892FFE" w:rsidRPr="004660C4" w:rsidRDefault="00892FFE" w:rsidP="004660C4">
      <w:pPr>
        <w:rPr>
          <w:lang w:val="en-US"/>
        </w:rPr>
      </w:pPr>
    </w:p>
    <w:p w14:paraId="70CE8B00" w14:textId="77777777" w:rsidR="004660C4" w:rsidRPr="004660C4" w:rsidRDefault="00644674" w:rsidP="004660C4">
      <w:pPr>
        <w:rPr>
          <w:b/>
          <w:lang w:val="en-US"/>
        </w:rPr>
      </w:pPr>
      <w:r w:rsidRPr="004660C4">
        <w:rPr>
          <w:b/>
          <w:lang w:val="en-US"/>
        </w:rPr>
        <w:t>Funding the future – bridging the retirement savings gap a</w:t>
      </w:r>
      <w:r w:rsidR="004660C4" w:rsidRPr="004660C4">
        <w:rPr>
          <w:b/>
          <w:lang w:val="en-US"/>
        </w:rPr>
        <w:t xml:space="preserve">nd funding bridges, power grids </w:t>
      </w:r>
      <w:r w:rsidRPr="004660C4">
        <w:rPr>
          <w:b/>
          <w:lang w:val="en-US"/>
        </w:rPr>
        <w:t>and retirement homes</w:t>
      </w:r>
    </w:p>
    <w:p w14:paraId="01327A49" w14:textId="3EB779BC" w:rsidR="000C4599" w:rsidRPr="004660C4" w:rsidRDefault="00644674" w:rsidP="004660C4">
      <w:pPr>
        <w:rPr>
          <w:lang w:val="en-US"/>
        </w:rPr>
      </w:pPr>
      <w:r w:rsidRPr="004660C4">
        <w:rPr>
          <w:lang w:val="en-US"/>
        </w:rPr>
        <w:t xml:space="preserve"> </w:t>
      </w:r>
    </w:p>
    <w:p w14:paraId="6410696A" w14:textId="3F670446" w:rsidR="00644674" w:rsidRPr="004660C4" w:rsidRDefault="00644674" w:rsidP="004660C4">
      <w:pPr>
        <w:rPr>
          <w:lang w:val="en-US"/>
        </w:rPr>
      </w:pPr>
      <w:r w:rsidRPr="004660C4">
        <w:rPr>
          <w:lang w:val="en-US"/>
        </w:rPr>
        <w:t>Asset and wealth managers have been filling the financing gaps resulting from the global financial crisis.</w:t>
      </w:r>
      <w:r w:rsidR="00592604" w:rsidRPr="004660C4">
        <w:rPr>
          <w:lang w:val="en-US"/>
        </w:rPr>
        <w:t xml:space="preserve"> PwC</w:t>
      </w:r>
      <w:r w:rsidRPr="004660C4">
        <w:rPr>
          <w:lang w:val="en-US"/>
        </w:rPr>
        <w:t xml:space="preserve"> predict</w:t>
      </w:r>
      <w:r w:rsidR="00592604" w:rsidRPr="004660C4">
        <w:rPr>
          <w:lang w:val="en-US"/>
        </w:rPr>
        <w:t>s</w:t>
      </w:r>
      <w:r w:rsidRPr="004660C4">
        <w:rPr>
          <w:lang w:val="en-US"/>
        </w:rPr>
        <w:t xml:space="preserve"> that their involvement in niches such as trade finance, peer-to-peer lending and infrastructure will dramatically increase. </w:t>
      </w:r>
    </w:p>
    <w:p w14:paraId="42C20C7D" w14:textId="77777777" w:rsidR="00644674" w:rsidRPr="004660C4" w:rsidRDefault="00644674" w:rsidP="004660C4">
      <w:pPr>
        <w:rPr>
          <w:lang w:val="en-US"/>
        </w:rPr>
      </w:pPr>
    </w:p>
    <w:p w14:paraId="4D00ED7B" w14:textId="2A86CDF5" w:rsidR="00644674" w:rsidRPr="004660C4" w:rsidRDefault="00644674" w:rsidP="004660C4">
      <w:pPr>
        <w:rPr>
          <w:rFonts w:eastAsiaTheme="minorHAnsi" w:cs="HelveticaNeue-Condensed"/>
          <w:color w:val="000000" w:themeColor="text1"/>
        </w:rPr>
      </w:pPr>
      <w:r w:rsidRPr="004660C4">
        <w:rPr>
          <w:lang w:val="en-US"/>
        </w:rPr>
        <w:t xml:space="preserve">Helping individuals to save for old age, as governments step back, is also a new opportunity to achieve profitable growth. All over the world, </w:t>
      </w:r>
      <w:proofErr w:type="spellStart"/>
      <w:r w:rsidRPr="004660C4">
        <w:rPr>
          <w:lang w:val="en-US"/>
        </w:rPr>
        <w:t>gove</w:t>
      </w:r>
      <w:r w:rsidRPr="004660C4">
        <w:rPr>
          <w:rFonts w:eastAsiaTheme="minorHAnsi" w:cs="CharterITC-Regu"/>
          <w:color w:val="000000" w:themeColor="text1"/>
        </w:rPr>
        <w:t>rnments</w:t>
      </w:r>
      <w:proofErr w:type="spellEnd"/>
      <w:r w:rsidRPr="004660C4">
        <w:rPr>
          <w:rFonts w:eastAsiaTheme="minorHAnsi" w:cs="CharterITC-Regu"/>
          <w:color w:val="000000" w:themeColor="text1"/>
        </w:rPr>
        <w:t xml:space="preserve"> are relying on individual retirement accounts and defined contribution plans to help people save for retirement. Expansion in these assets as the world population builds wealth and </w:t>
      </w:r>
      <w:r w:rsidR="00A30F3A" w:rsidRPr="004660C4">
        <w:rPr>
          <w:rFonts w:eastAsiaTheme="minorHAnsi" w:cs="CharterITC-Regu"/>
          <w:color w:val="000000" w:themeColor="text1"/>
        </w:rPr>
        <w:t>life expectancy rises</w:t>
      </w:r>
      <w:r w:rsidRPr="004660C4">
        <w:rPr>
          <w:rFonts w:eastAsiaTheme="minorHAnsi" w:cs="CharterITC-Regu"/>
          <w:color w:val="000000" w:themeColor="text1"/>
        </w:rPr>
        <w:t xml:space="preserve"> is one of the main forces driving </w:t>
      </w:r>
      <w:r w:rsidR="00C03AEA" w:rsidRPr="004660C4">
        <w:rPr>
          <w:rFonts w:eastAsiaTheme="minorHAnsi" w:cs="CharterITC-Regu"/>
          <w:color w:val="000000" w:themeColor="text1"/>
        </w:rPr>
        <w:t xml:space="preserve">PwC’s </w:t>
      </w:r>
      <w:r w:rsidRPr="004660C4">
        <w:rPr>
          <w:rFonts w:eastAsiaTheme="minorHAnsi" w:cs="CharterITC-Regu"/>
          <w:color w:val="000000" w:themeColor="text1"/>
        </w:rPr>
        <w:t>optimistic forecasts for growth in assets under management.</w:t>
      </w:r>
      <w:r w:rsidRPr="004660C4">
        <w:rPr>
          <w:rFonts w:eastAsiaTheme="minorHAnsi" w:cs="HelveticaNeue-Condensed"/>
          <w:color w:val="000000" w:themeColor="text1"/>
        </w:rPr>
        <w:t xml:space="preserve"> </w:t>
      </w:r>
    </w:p>
    <w:p w14:paraId="12AD3A2C" w14:textId="77777777" w:rsidR="00644674" w:rsidRPr="00681864" w:rsidRDefault="00644674" w:rsidP="00A63E62"/>
    <w:p w14:paraId="5A4E9C7B" w14:textId="59C7C009" w:rsidR="00644674" w:rsidRDefault="00644674" w:rsidP="00A63E62">
      <w:r w:rsidRPr="00681864">
        <w:t>Investment firms will provide capital in areas such as trade finance a</w:t>
      </w:r>
      <w:r w:rsidR="009D71C1">
        <w:t xml:space="preserve">nd peer-to-peer lending. </w:t>
      </w:r>
      <w:r w:rsidR="00C03AEA">
        <w:t xml:space="preserve">They will </w:t>
      </w:r>
      <w:r w:rsidRPr="00681864">
        <w:t>be more active in all aspects of syndicated lending activities traditionally undertaken by</w:t>
      </w:r>
      <w:r w:rsidR="0058521A" w:rsidRPr="00681864">
        <w:t xml:space="preserve"> </w:t>
      </w:r>
      <w:r w:rsidRPr="00681864">
        <w:t xml:space="preserve">banks, e.g. arranging a syndicate of investors for large infrastructure projects. </w:t>
      </w:r>
      <w:r w:rsidR="009D71C1">
        <w:t>PwC</w:t>
      </w:r>
      <w:r w:rsidRPr="00681864">
        <w:t xml:space="preserve"> anticipate</w:t>
      </w:r>
      <w:r w:rsidR="009D71C1">
        <w:t>s</w:t>
      </w:r>
      <w:r w:rsidRPr="00681864">
        <w:t xml:space="preserve"> soaring growth in real assets – mainly infrastructure and to a lesser extent real estate</w:t>
      </w:r>
      <w:r w:rsidR="00681864">
        <w:t>. Over the four years from 2016-</w:t>
      </w:r>
      <w:r w:rsidR="009D71C1">
        <w:t>2020, PwC</w:t>
      </w:r>
      <w:r w:rsidRPr="00681864">
        <w:t xml:space="preserve"> forecast</w:t>
      </w:r>
      <w:r w:rsidR="009D71C1">
        <w:t>s</w:t>
      </w:r>
      <w:r w:rsidRPr="00681864">
        <w:t xml:space="preserve"> a 27.5% per annum growth rate in</w:t>
      </w:r>
      <w:r w:rsidR="00681864">
        <w:t xml:space="preserve"> infrastructure, slowing to 15% from 2020-</w:t>
      </w:r>
      <w:r w:rsidRPr="00681864">
        <w:t>2025. Infrastructure assets will expand more than fivefold, from US$0.6 trillion in 2016, to US$3.4 trillion in 2025.</w:t>
      </w:r>
    </w:p>
    <w:p w14:paraId="7A127475" w14:textId="77777777" w:rsidR="007738B7" w:rsidRDefault="007738B7" w:rsidP="00A63E62">
      <w:pPr>
        <w:rPr>
          <w:rFonts w:asciiTheme="majorHAnsi" w:eastAsiaTheme="minorHAnsi" w:hAnsiTheme="majorHAnsi"/>
          <w:color w:val="000000" w:themeColor="text1"/>
          <w:szCs w:val="20"/>
        </w:rPr>
      </w:pPr>
    </w:p>
    <w:p w14:paraId="310A9D59" w14:textId="6A79E910" w:rsidR="007738B7" w:rsidRPr="007738B7" w:rsidRDefault="007738B7" w:rsidP="00A63E62">
      <w:pPr>
        <w:rPr>
          <w:rFonts w:asciiTheme="majorHAnsi" w:hAnsiTheme="majorHAnsi"/>
          <w:b/>
          <w:color w:val="000000" w:themeColor="text1"/>
          <w:szCs w:val="20"/>
        </w:rPr>
      </w:pPr>
      <w:r w:rsidRPr="007738B7">
        <w:rPr>
          <w:rFonts w:asciiTheme="majorHAnsi" w:hAnsiTheme="majorHAnsi"/>
          <w:b/>
          <w:color w:val="000000" w:themeColor="text1"/>
          <w:szCs w:val="20"/>
        </w:rPr>
        <w:t>Technology will impact every aspect of asset and wealth management</w:t>
      </w:r>
    </w:p>
    <w:p w14:paraId="729641DF" w14:textId="77777777" w:rsidR="00644674" w:rsidRPr="00681864" w:rsidRDefault="00644674" w:rsidP="00A63E62"/>
    <w:p w14:paraId="5DFA52D7" w14:textId="0A0A8A38" w:rsidR="003F7D58" w:rsidRDefault="007738B7" w:rsidP="00A63E62">
      <w:pPr>
        <w:rPr>
          <w:rFonts w:eastAsiaTheme="minorHAnsi"/>
        </w:rPr>
      </w:pPr>
      <w:r>
        <w:rPr>
          <w:rFonts w:eastAsiaTheme="minorHAnsi"/>
        </w:rPr>
        <w:t>Asset managers need a keen eye for the tech</w:t>
      </w:r>
      <w:r w:rsidR="00B6066E">
        <w:rPr>
          <w:rFonts w:eastAsiaTheme="minorHAnsi"/>
        </w:rPr>
        <w:t>nological</w:t>
      </w:r>
      <w:r>
        <w:rPr>
          <w:rFonts w:eastAsiaTheme="minorHAnsi"/>
        </w:rPr>
        <w:t xml:space="preserve"> developments </w:t>
      </w:r>
      <w:r w:rsidR="00B6066E">
        <w:rPr>
          <w:rFonts w:eastAsiaTheme="minorHAnsi"/>
        </w:rPr>
        <w:t>that will be</w:t>
      </w:r>
      <w:r>
        <w:rPr>
          <w:rFonts w:eastAsiaTheme="minorHAnsi"/>
        </w:rPr>
        <w:t xml:space="preserve"> driving exponential change</w:t>
      </w:r>
      <w:r w:rsidRPr="00681864">
        <w:rPr>
          <w:rFonts w:eastAsiaTheme="minorHAnsi"/>
        </w:rPr>
        <w:t xml:space="preserve">. </w:t>
      </w:r>
      <w:r>
        <w:rPr>
          <w:rFonts w:eastAsiaTheme="minorHAnsi"/>
        </w:rPr>
        <w:t>Machine learning and</w:t>
      </w:r>
      <w:r w:rsidRPr="00E5467C">
        <w:rPr>
          <w:rFonts w:eastAsiaTheme="minorHAnsi"/>
        </w:rPr>
        <w:t xml:space="preserve"> AI </w:t>
      </w:r>
      <w:r>
        <w:rPr>
          <w:rFonts w:eastAsiaTheme="minorHAnsi"/>
        </w:rPr>
        <w:t xml:space="preserve">are </w:t>
      </w:r>
      <w:r w:rsidRPr="00E5467C">
        <w:rPr>
          <w:rFonts w:eastAsiaTheme="minorHAnsi"/>
        </w:rPr>
        <w:t>set to change the way research and portfolio man</w:t>
      </w:r>
      <w:r>
        <w:rPr>
          <w:rFonts w:eastAsiaTheme="minorHAnsi"/>
        </w:rPr>
        <w:t>agement is conducted and Robotic Process Automation will</w:t>
      </w:r>
      <w:r w:rsidRPr="00E5467C">
        <w:rPr>
          <w:rFonts w:eastAsiaTheme="minorHAnsi"/>
        </w:rPr>
        <w:t xml:space="preserve"> revolutionis</w:t>
      </w:r>
      <w:r>
        <w:rPr>
          <w:rFonts w:eastAsiaTheme="minorHAnsi"/>
        </w:rPr>
        <w:t xml:space="preserve">e the back and middle office, while </w:t>
      </w:r>
      <w:proofErr w:type="spellStart"/>
      <w:r w:rsidR="0004479F">
        <w:rPr>
          <w:rFonts w:eastAsiaTheme="minorHAnsi"/>
        </w:rPr>
        <w:t>block</w:t>
      </w:r>
      <w:r w:rsidR="0004479F" w:rsidRPr="00E5467C">
        <w:rPr>
          <w:rFonts w:eastAsiaTheme="minorHAnsi"/>
        </w:rPr>
        <w:t>chain</w:t>
      </w:r>
      <w:proofErr w:type="spellEnd"/>
      <w:r w:rsidRPr="00E5467C">
        <w:rPr>
          <w:rFonts w:eastAsiaTheme="minorHAnsi"/>
        </w:rPr>
        <w:t xml:space="preserve"> could have a profound impact</w:t>
      </w:r>
      <w:r>
        <w:rPr>
          <w:rFonts w:eastAsiaTheme="minorHAnsi"/>
        </w:rPr>
        <w:t xml:space="preserve"> on the service</w:t>
      </w:r>
      <w:r w:rsidR="00B6066E">
        <w:rPr>
          <w:rFonts w:eastAsiaTheme="minorHAnsi"/>
        </w:rPr>
        <w:t>s</w:t>
      </w:r>
      <w:r>
        <w:rPr>
          <w:rFonts w:eastAsiaTheme="minorHAnsi"/>
        </w:rPr>
        <w:t xml:space="preserve"> industry</w:t>
      </w:r>
      <w:r w:rsidRPr="00E5467C">
        <w:rPr>
          <w:rFonts w:eastAsiaTheme="minorHAnsi"/>
        </w:rPr>
        <w:t>.</w:t>
      </w:r>
      <w:r>
        <w:rPr>
          <w:rFonts w:eastAsiaTheme="minorHAnsi"/>
        </w:rPr>
        <w:t xml:space="preserve"> </w:t>
      </w:r>
      <w:r w:rsidR="003F7D58">
        <w:rPr>
          <w:rFonts w:eastAsiaTheme="minorHAnsi"/>
        </w:rPr>
        <w:t>They must</w:t>
      </w:r>
      <w:r w:rsidR="003F7D58" w:rsidRPr="00681864">
        <w:rPr>
          <w:rFonts w:eastAsiaTheme="minorHAnsi"/>
        </w:rPr>
        <w:t xml:space="preserve"> design new products and services that meet changing needs</w:t>
      </w:r>
      <w:r w:rsidR="003F7D58">
        <w:rPr>
          <w:rFonts w:eastAsiaTheme="minorHAnsi"/>
        </w:rPr>
        <w:t xml:space="preserve">. </w:t>
      </w:r>
      <w:r w:rsidR="003F7D58" w:rsidRPr="00681864">
        <w:rPr>
          <w:rFonts w:eastAsiaTheme="minorHAnsi"/>
        </w:rPr>
        <w:t xml:space="preserve">This vital social role is </w:t>
      </w:r>
      <w:r w:rsidR="00490393">
        <w:rPr>
          <w:rFonts w:eastAsiaTheme="minorHAnsi"/>
        </w:rPr>
        <w:t xml:space="preserve">also </w:t>
      </w:r>
      <w:r w:rsidR="003F7D58" w:rsidRPr="00681864">
        <w:rPr>
          <w:rFonts w:eastAsiaTheme="minorHAnsi"/>
        </w:rPr>
        <w:t xml:space="preserve">one of the reasons why regulators </w:t>
      </w:r>
      <w:r w:rsidR="00A30F3A">
        <w:rPr>
          <w:rFonts w:eastAsiaTheme="minorHAnsi"/>
        </w:rPr>
        <w:t xml:space="preserve">around the world </w:t>
      </w:r>
      <w:r w:rsidR="003F7D58" w:rsidRPr="00681864">
        <w:rPr>
          <w:rFonts w:eastAsiaTheme="minorHAnsi"/>
        </w:rPr>
        <w:t>are making sure that fees are fair and advice is suitable.</w:t>
      </w:r>
    </w:p>
    <w:p w14:paraId="5318D17C" w14:textId="77777777" w:rsidR="00490393" w:rsidRDefault="00490393" w:rsidP="00490393">
      <w:pPr>
        <w:autoSpaceDE w:val="0"/>
        <w:autoSpaceDN w:val="0"/>
        <w:adjustRightInd w:val="0"/>
        <w:spacing w:line="240" w:lineRule="auto"/>
        <w:ind w:left="720"/>
        <w:rPr>
          <w:rFonts w:asciiTheme="majorHAnsi" w:hAnsiTheme="majorHAnsi"/>
          <w:color w:val="000000" w:themeColor="text1"/>
          <w:szCs w:val="20"/>
        </w:rPr>
      </w:pPr>
    </w:p>
    <w:p w14:paraId="3D985E2D" w14:textId="77777777" w:rsidR="00A40DB7" w:rsidRPr="00A403DD" w:rsidRDefault="00A40DB7" w:rsidP="00A40DB7">
      <w:pPr>
        <w:pStyle w:val="BodyText"/>
        <w:jc w:val="right"/>
        <w:rPr>
          <w:b/>
        </w:rPr>
      </w:pPr>
      <w:r w:rsidRPr="00A403DD">
        <w:rPr>
          <w:b/>
        </w:rPr>
        <w:t>ENDS</w:t>
      </w:r>
    </w:p>
    <w:p w14:paraId="1961BD37" w14:textId="77777777" w:rsidR="00A40DB7" w:rsidRDefault="00A40DB7" w:rsidP="00A40DB7">
      <w:pPr>
        <w:rPr>
          <w:b/>
          <w:lang w:val="en-US"/>
        </w:rPr>
      </w:pPr>
      <w:r>
        <w:rPr>
          <w:b/>
          <w:lang w:val="en-US"/>
        </w:rPr>
        <w:t>Notes to editors:</w:t>
      </w:r>
    </w:p>
    <w:p w14:paraId="55A4AACA" w14:textId="77777777" w:rsidR="00A40DB7" w:rsidRDefault="00A40DB7" w:rsidP="00A40DB7">
      <w:pPr>
        <w:rPr>
          <w:b/>
          <w:lang w:val="en-US"/>
        </w:rPr>
      </w:pPr>
    </w:p>
    <w:p w14:paraId="2B08B8D3" w14:textId="496045D5" w:rsidR="00AB2677" w:rsidRPr="00AB2677" w:rsidRDefault="00A27E36" w:rsidP="00A40DB7">
      <w:pPr>
        <w:rPr>
          <w:b/>
        </w:rPr>
      </w:pPr>
      <w:r w:rsidRPr="00AB2677">
        <w:rPr>
          <w:b/>
          <w:lang w:val="en-US"/>
        </w:rPr>
        <w:t>O</w:t>
      </w:r>
      <w:r w:rsidR="00AB2677" w:rsidRPr="00AB2677">
        <w:rPr>
          <w:b/>
        </w:rPr>
        <w:t>verall methodology</w:t>
      </w:r>
      <w:r w:rsidRPr="00AB2677">
        <w:rPr>
          <w:b/>
        </w:rPr>
        <w:t xml:space="preserve"> </w:t>
      </w:r>
    </w:p>
    <w:p w14:paraId="0D63C7C3" w14:textId="77777777" w:rsidR="00AB2677" w:rsidRDefault="00AB2677" w:rsidP="00A40DB7"/>
    <w:p w14:paraId="7A9217DF" w14:textId="08A74841" w:rsidR="00A27E36" w:rsidRDefault="00AB2677" w:rsidP="00A40DB7">
      <w:pPr>
        <w:rPr>
          <w:lang w:val="en-US"/>
        </w:rPr>
      </w:pPr>
      <w:r>
        <w:t>For</w:t>
      </w:r>
      <w:r w:rsidR="00A27E36">
        <w:t xml:space="preserve"> </w:t>
      </w:r>
      <w:r w:rsidR="00A27E36" w:rsidRPr="00A27E36">
        <w:t xml:space="preserve">our projections we use econometric modelling to obtain our baseline estimates. The </w:t>
      </w:r>
      <w:proofErr w:type="spellStart"/>
      <w:r w:rsidR="00A27E36" w:rsidRPr="00A27E36">
        <w:t>AuM</w:t>
      </w:r>
      <w:proofErr w:type="spellEnd"/>
      <w:r w:rsidR="00A27E36" w:rsidRPr="00A27E36">
        <w:t xml:space="preserve"> is used as the target variable (based on data from 2004 to 2016) and various macroeconomic indicators from the International Monetary Fund (IMF) are used as explanatory variables. We use proprietary statistical software to search among different possible models. We have tested multiple models in levels, in differences, in logs, with lags and without lags and have shortlisted those statistically significant models for each country. These models are further examined per country and the most economically plausible model is selected. Both the </w:t>
      </w:r>
      <w:proofErr w:type="spellStart"/>
      <w:r w:rsidR="00A27E36" w:rsidRPr="00A27E36">
        <w:t>AuM</w:t>
      </w:r>
      <w:proofErr w:type="spellEnd"/>
      <w:r w:rsidR="00A27E36" w:rsidRPr="00A27E36">
        <w:t xml:space="preserve"> as well as the explanatory factors from IMF entering our models are denominated in USD. When we conduct our analysis for the Asset and Wealth Management industry, we generally include an overlay related to exchange rate fluctuations in particular markets. We have also taken into account qualitative information and consulted subject matter experts to see possible factors that could affect the performance of our models.</w:t>
      </w:r>
    </w:p>
    <w:p w14:paraId="51AAC4F1" w14:textId="77777777" w:rsidR="00A27E36" w:rsidRDefault="00A27E36" w:rsidP="00A40DB7">
      <w:pPr>
        <w:rPr>
          <w:lang w:val="en-US"/>
        </w:rPr>
      </w:pPr>
    </w:p>
    <w:p w14:paraId="347AF417" w14:textId="2575E84D" w:rsidR="00CE10D9" w:rsidRPr="00382F7E" w:rsidRDefault="00A92DD1" w:rsidP="00A40DB7">
      <w:pPr>
        <w:rPr>
          <w:lang w:val="en-US"/>
        </w:rPr>
      </w:pPr>
      <w:r>
        <w:rPr>
          <w:lang w:val="en-US"/>
        </w:rPr>
        <w:t>T</w:t>
      </w:r>
      <w:r w:rsidR="00382F7E">
        <w:rPr>
          <w:lang w:val="en-US"/>
        </w:rPr>
        <w:t xml:space="preserve">he report </w:t>
      </w:r>
      <w:r>
        <w:rPr>
          <w:lang w:val="en-US"/>
        </w:rPr>
        <w:t xml:space="preserve">can be downloaded </w:t>
      </w:r>
      <w:r w:rsidR="00382F7E">
        <w:rPr>
          <w:lang w:val="en-US"/>
        </w:rPr>
        <w:t xml:space="preserve">here: </w:t>
      </w:r>
      <w:hyperlink r:id="rId8" w:history="1">
        <w:r w:rsidR="00382F7E" w:rsidRPr="00382F7E">
          <w:rPr>
            <w:rStyle w:val="Hyperlink"/>
            <w:color w:val="00B0F0"/>
            <w:u w:val="none"/>
            <w:lang w:val="en-US"/>
          </w:rPr>
          <w:t>www.pwc.com/assetmanagement</w:t>
        </w:r>
      </w:hyperlink>
      <w:r w:rsidR="00382F7E" w:rsidRPr="00382F7E">
        <w:rPr>
          <w:color w:val="00B0F0"/>
          <w:lang w:val="en-US"/>
        </w:rPr>
        <w:t xml:space="preserve"> </w:t>
      </w:r>
    </w:p>
    <w:p w14:paraId="6BF2E1A8" w14:textId="77777777" w:rsidR="00382F7E" w:rsidRDefault="00382F7E" w:rsidP="00A40DB7">
      <w:pPr>
        <w:rPr>
          <w:b/>
          <w:lang w:val="en-US"/>
        </w:rPr>
      </w:pPr>
    </w:p>
    <w:p w14:paraId="10D9CF59" w14:textId="6656EE4F" w:rsidR="00A942F1" w:rsidRDefault="00A63E62" w:rsidP="00A63E62">
      <w:pPr>
        <w:rPr>
          <w:b/>
          <w:lang w:val="en-US"/>
        </w:rPr>
      </w:pPr>
      <w:r>
        <w:rPr>
          <w:b/>
          <w:lang w:val="en-US"/>
        </w:rPr>
        <w:t>About PwC</w:t>
      </w:r>
    </w:p>
    <w:p w14:paraId="2A49A54B" w14:textId="77777777" w:rsidR="00A63E62" w:rsidRPr="00A63E62" w:rsidRDefault="00A63E62" w:rsidP="00A63E62">
      <w:pPr>
        <w:rPr>
          <w:b/>
          <w:lang w:val="en-US"/>
        </w:rPr>
      </w:pPr>
    </w:p>
    <w:p w14:paraId="0EF4353E" w14:textId="77777777" w:rsidR="00A40DB7" w:rsidRPr="005C1639" w:rsidRDefault="00A40DB7" w:rsidP="00A40DB7">
      <w:pPr>
        <w:spacing w:line="240" w:lineRule="auto"/>
        <w:ind w:right="202"/>
        <w:jc w:val="both"/>
        <w:rPr>
          <w:rFonts w:asciiTheme="majorHAnsi" w:hAnsiTheme="majorHAnsi" w:cs="Georgia"/>
          <w:color w:val="000000"/>
          <w:szCs w:val="20"/>
        </w:rPr>
      </w:pPr>
      <w:r w:rsidRPr="005C1639">
        <w:rPr>
          <w:rFonts w:asciiTheme="majorHAnsi" w:hAnsiTheme="majorHAnsi" w:cs="Georgia"/>
          <w:color w:val="000000"/>
          <w:szCs w:val="20"/>
        </w:rPr>
        <w:lastRenderedPageBreak/>
        <w:t>At PwC, our purpose is to build trust in society and solve important problems.</w:t>
      </w:r>
      <w:r w:rsidR="00190998">
        <w:rPr>
          <w:rFonts w:asciiTheme="majorHAnsi" w:hAnsiTheme="majorHAnsi" w:cs="Georgia"/>
          <w:color w:val="000000"/>
          <w:szCs w:val="20"/>
        </w:rPr>
        <w:t xml:space="preserve"> We’re a network of firms in 158 countries with more than 236</w:t>
      </w:r>
      <w:r w:rsidRPr="005C1639">
        <w:rPr>
          <w:rFonts w:asciiTheme="majorHAnsi" w:hAnsiTheme="majorHAnsi" w:cs="Georgia"/>
          <w:color w:val="000000"/>
          <w:szCs w:val="20"/>
        </w:rPr>
        <w:t xml:space="preserve">,000 people who are committed to delivering quality in assurance, advisory and tax services. Find out more and tell us what matters to you by visiting us at </w:t>
      </w:r>
      <w:hyperlink r:id="rId9" w:history="1">
        <w:r w:rsidRPr="0066766D">
          <w:rPr>
            <w:rStyle w:val="Hyperlink"/>
            <w:rFonts w:asciiTheme="majorHAnsi" w:hAnsiTheme="majorHAnsi" w:cs="Georgia"/>
            <w:color w:val="00B0F0"/>
            <w:szCs w:val="20"/>
            <w:u w:val="none"/>
          </w:rPr>
          <w:t>www.pwc.com</w:t>
        </w:r>
      </w:hyperlink>
      <w:r w:rsidRPr="005C1639">
        <w:rPr>
          <w:rFonts w:asciiTheme="majorHAnsi" w:hAnsiTheme="majorHAnsi" w:cs="Georgia"/>
          <w:color w:val="000000"/>
          <w:szCs w:val="20"/>
        </w:rPr>
        <w:t>.</w:t>
      </w:r>
    </w:p>
    <w:p w14:paraId="49AB4FEF" w14:textId="77777777" w:rsidR="00A40DB7" w:rsidRDefault="00A40DB7" w:rsidP="00A40DB7">
      <w:pPr>
        <w:spacing w:line="240" w:lineRule="auto"/>
        <w:ind w:right="202"/>
        <w:jc w:val="both"/>
        <w:rPr>
          <w:rFonts w:asciiTheme="majorHAnsi" w:hAnsiTheme="majorHAnsi" w:cs="Georgia"/>
          <w:color w:val="000000"/>
          <w:szCs w:val="20"/>
        </w:rPr>
      </w:pPr>
    </w:p>
    <w:p w14:paraId="4C265772" w14:textId="77777777" w:rsidR="00A40DB7" w:rsidRPr="005C1639" w:rsidRDefault="00A40DB7" w:rsidP="00A40DB7">
      <w:pPr>
        <w:spacing w:line="240" w:lineRule="auto"/>
        <w:ind w:right="202"/>
        <w:jc w:val="both"/>
        <w:rPr>
          <w:rFonts w:asciiTheme="majorHAnsi" w:hAnsiTheme="majorHAnsi" w:cs="Georgia"/>
          <w:color w:val="000000"/>
          <w:szCs w:val="20"/>
        </w:rPr>
      </w:pPr>
      <w:r w:rsidRPr="005C1639">
        <w:rPr>
          <w:rFonts w:asciiTheme="majorHAnsi" w:hAnsiTheme="majorHAnsi" w:cs="Georgia"/>
          <w:color w:val="000000"/>
          <w:szCs w:val="20"/>
        </w:rPr>
        <w:t xml:space="preserve">PwC refers to the PwC network and/or one or more of its member firms, each of which is a separate legal entity. Please see </w:t>
      </w:r>
      <w:hyperlink r:id="rId10" w:history="1">
        <w:r w:rsidRPr="0066766D">
          <w:rPr>
            <w:rStyle w:val="Hyperlink"/>
            <w:rFonts w:asciiTheme="majorHAnsi" w:hAnsiTheme="majorHAnsi" w:cs="Georgia"/>
            <w:color w:val="00B0F0"/>
            <w:szCs w:val="20"/>
            <w:u w:val="none"/>
          </w:rPr>
          <w:t>www.pwc.com/structure</w:t>
        </w:r>
      </w:hyperlink>
      <w:r>
        <w:rPr>
          <w:rFonts w:asciiTheme="majorHAnsi" w:hAnsiTheme="majorHAnsi" w:cs="Georgia"/>
          <w:color w:val="000000"/>
          <w:szCs w:val="20"/>
        </w:rPr>
        <w:t xml:space="preserve"> </w:t>
      </w:r>
      <w:r w:rsidRPr="005C1639">
        <w:rPr>
          <w:rFonts w:asciiTheme="majorHAnsi" w:hAnsiTheme="majorHAnsi" w:cs="Georgia"/>
          <w:color w:val="000000"/>
          <w:szCs w:val="20"/>
        </w:rPr>
        <w:t>for further details.</w:t>
      </w:r>
    </w:p>
    <w:p w14:paraId="75F57F29" w14:textId="77777777" w:rsidR="00A40DB7" w:rsidRDefault="00A40DB7" w:rsidP="00A40DB7">
      <w:pPr>
        <w:spacing w:line="240" w:lineRule="auto"/>
        <w:jc w:val="both"/>
        <w:rPr>
          <w:rFonts w:asciiTheme="majorHAnsi" w:hAnsiTheme="majorHAnsi" w:cs="Georgia"/>
          <w:color w:val="000000"/>
          <w:szCs w:val="20"/>
        </w:rPr>
      </w:pPr>
    </w:p>
    <w:p w14:paraId="409AA5EF" w14:textId="3B87745A" w:rsidR="002369EF" w:rsidRPr="00A27E36" w:rsidRDefault="00A40DB7" w:rsidP="00A27E36">
      <w:pPr>
        <w:spacing w:line="240" w:lineRule="auto"/>
        <w:jc w:val="both"/>
        <w:rPr>
          <w:rFonts w:asciiTheme="majorHAnsi" w:hAnsiTheme="majorHAnsi" w:cs="Georgia"/>
          <w:color w:val="000000"/>
          <w:szCs w:val="20"/>
        </w:rPr>
      </w:pPr>
      <w:r w:rsidRPr="005C1639">
        <w:rPr>
          <w:rFonts w:asciiTheme="majorHAnsi" w:hAnsiTheme="majorHAnsi" w:cs="Georgia"/>
          <w:color w:val="000000"/>
          <w:szCs w:val="20"/>
        </w:rPr>
        <w:t>© 2017 PwC. All rights reserved</w:t>
      </w:r>
    </w:p>
    <w:sectPr w:rsidR="002369EF" w:rsidRPr="00A27E36" w:rsidSect="00E61887">
      <w:headerReference w:type="even" r:id="rId11"/>
      <w:headerReference w:type="default" r:id="rId12"/>
      <w:footerReference w:type="even" r:id="rId13"/>
      <w:footerReference w:type="default" r:id="rId14"/>
      <w:headerReference w:type="first" r:id="rId15"/>
      <w:pgSz w:w="11907" w:h="16839"/>
      <w:pgMar w:top="2160" w:right="1440" w:bottom="1710" w:left="1377"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CBEF5" w14:textId="77777777" w:rsidR="00832027" w:rsidRDefault="00832027">
      <w:pPr>
        <w:spacing w:line="240" w:lineRule="auto"/>
      </w:pPr>
      <w:r>
        <w:separator/>
      </w:r>
    </w:p>
  </w:endnote>
  <w:endnote w:type="continuationSeparator" w:id="0">
    <w:p w14:paraId="44022C88" w14:textId="77777777" w:rsidR="00832027" w:rsidRDefault="00832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harterITC-Regu">
    <w:panose1 w:val="00000000000000000000"/>
    <w:charset w:val="00"/>
    <w:family w:val="roman"/>
    <w:notTrueType/>
    <w:pitch w:val="default"/>
    <w:sig w:usb0="00000003" w:usb1="00000000" w:usb2="00000000" w:usb3="00000000" w:csb0="00000001" w:csb1="00000000"/>
  </w:font>
  <w:font w:name="HelveticaNeue-Condensed">
    <w:panose1 w:val="00000000000000000000"/>
    <w:charset w:val="00"/>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1D0B" w14:textId="77777777" w:rsidR="00730CD2" w:rsidRDefault="00934826">
    <w:pPr>
      <w:pStyle w:val="Footer"/>
    </w:pPr>
    <w:r>
      <w:fldChar w:fldCharType="begin"/>
    </w:r>
    <w:r>
      <w:instrText xml:space="preserve"> PAGE  \* MERGEFORMAT </w:instrText>
    </w:r>
    <w:r>
      <w:fldChar w:fldCharType="separate"/>
    </w:r>
    <w:r>
      <w:rPr>
        <w:noProof/>
      </w:rPr>
      <w:t>2</w:t>
    </w:r>
    <w:r>
      <w:rPr>
        <w:noProof/>
      </w:rPr>
      <w:fldChar w:fldCharType="end"/>
    </w:r>
    <w:r>
      <w:t xml:space="preserve"> of </w:t>
    </w:r>
    <w:fldSimple w:instr=" NUMPAGES  \* MERGEFORMAT ">
      <w:r w:rsidR="00EC2718">
        <w:rPr>
          <w:noProof/>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9D11" w14:textId="77777777" w:rsidR="00730CD2" w:rsidRDefault="00934826">
    <w:pPr>
      <w:pStyle w:val="Footer"/>
    </w:pPr>
    <w:r>
      <w:fldChar w:fldCharType="begin"/>
    </w:r>
    <w:r>
      <w:instrText xml:space="preserve"> PAGE  \* MERGEFORMAT </w:instrText>
    </w:r>
    <w:r>
      <w:fldChar w:fldCharType="separate"/>
    </w:r>
    <w:r w:rsidR="00337DB2">
      <w:rPr>
        <w:noProof/>
      </w:rPr>
      <w:t>4</w:t>
    </w:r>
    <w:r>
      <w:rPr>
        <w:noProof/>
      </w:rPr>
      <w:fldChar w:fldCharType="end"/>
    </w:r>
    <w:r>
      <w:t xml:space="preserve"> of </w:t>
    </w:r>
    <w:fldSimple w:instr=" NUMPAGES  \* MERGEFORMAT ">
      <w:r w:rsidR="00337DB2">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F0BB4" w14:textId="77777777" w:rsidR="00832027" w:rsidRDefault="00832027">
      <w:pPr>
        <w:spacing w:line="240" w:lineRule="auto"/>
      </w:pPr>
      <w:r>
        <w:separator/>
      </w:r>
    </w:p>
  </w:footnote>
  <w:footnote w:type="continuationSeparator" w:id="0">
    <w:p w14:paraId="1E90D2FA" w14:textId="77777777" w:rsidR="00832027" w:rsidRDefault="008320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E6D2D" w14:textId="77777777" w:rsidR="00730CD2" w:rsidRDefault="00934826">
    <w:pPr>
      <w:pStyle w:val="Header"/>
    </w:pPr>
    <w:r>
      <w:rPr>
        <w:noProof/>
        <w:lang w:val="en-US"/>
      </w:rPr>
      <w:drawing>
        <wp:anchor distT="0" distB="0" distL="114300" distR="114300" simplePos="0" relativeHeight="251661312" behindDoc="0" locked="1" layoutInCell="1" allowOverlap="1" wp14:anchorId="227D327A" wp14:editId="38062FB0">
          <wp:simplePos x="0" y="0"/>
          <wp:positionH relativeFrom="page">
            <wp:posOffset>354965</wp:posOffset>
          </wp:positionH>
          <wp:positionV relativeFrom="page">
            <wp:posOffset>90805</wp:posOffset>
          </wp:positionV>
          <wp:extent cx="1410970" cy="126873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10970" cy="1268730"/>
                  </a:xfrm>
                  <a:prstGeom prst="rect">
                    <a:avLst/>
                  </a:prstGeom>
                  <a:noFill/>
                </pic:spPr>
              </pic:pic>
            </a:graphicData>
          </a:graphic>
        </wp:anchor>
      </w:drawing>
    </w:r>
  </w:p>
  <w:p w14:paraId="1C5F59CD" w14:textId="77777777" w:rsidR="00730CD2" w:rsidRDefault="008320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9AC2B" w14:textId="77777777" w:rsidR="00730CD2" w:rsidRDefault="00934826">
    <w:pPr>
      <w:pStyle w:val="Header"/>
    </w:pPr>
    <w:r>
      <w:rPr>
        <w:noProof/>
        <w:lang w:val="en-US"/>
      </w:rPr>
      <w:drawing>
        <wp:anchor distT="0" distB="0" distL="114300" distR="114300" simplePos="0" relativeHeight="251660288" behindDoc="0" locked="1" layoutInCell="1" allowOverlap="1" wp14:anchorId="606043B5" wp14:editId="68126F9C">
          <wp:simplePos x="0" y="0"/>
          <wp:positionH relativeFrom="page">
            <wp:posOffset>402590</wp:posOffset>
          </wp:positionH>
          <wp:positionV relativeFrom="page">
            <wp:posOffset>119380</wp:posOffset>
          </wp:positionV>
          <wp:extent cx="1410970" cy="126873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0970" cy="1268730"/>
                  </a:xfrm>
                  <a:prstGeom prst="rect">
                    <a:avLst/>
                  </a:prstGeom>
                  <a:noFill/>
                </pic:spPr>
              </pic:pic>
            </a:graphicData>
          </a:graphic>
        </wp:anchor>
      </w:drawing>
    </w:r>
  </w:p>
  <w:p w14:paraId="76DEE953" w14:textId="77777777" w:rsidR="00730CD2" w:rsidRDefault="008320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996A3" w14:textId="77777777" w:rsidR="00730CD2" w:rsidRDefault="00934826">
    <w:pPr>
      <w:pStyle w:val="Header"/>
    </w:pPr>
    <w:r>
      <w:rPr>
        <w:noProof/>
        <w:lang w:val="en-US"/>
      </w:rPr>
      <w:drawing>
        <wp:anchor distT="0" distB="0" distL="114300" distR="114300" simplePos="0" relativeHeight="251659264" behindDoc="0" locked="1" layoutInCell="1" allowOverlap="1" wp14:anchorId="2650B35A" wp14:editId="00FD4AF5">
          <wp:simplePos x="0" y="0"/>
          <wp:positionH relativeFrom="page">
            <wp:posOffset>326390</wp:posOffset>
          </wp:positionH>
          <wp:positionV relativeFrom="page">
            <wp:posOffset>157480</wp:posOffset>
          </wp:positionV>
          <wp:extent cx="1410970" cy="1268730"/>
          <wp:effectExtent l="0" t="0" r="0" b="0"/>
          <wp:wrapNone/>
          <wp:docPr id="46" name="first_p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_page_logo"/>
                  <pic:cNvPicPr>
                    <a:picLocks noChangeAspect="1" noChangeArrowheads="1"/>
                  </pic:cNvPicPr>
                </pic:nvPicPr>
                <pic:blipFill>
                  <a:blip r:embed="rId1"/>
                  <a:srcRect/>
                  <a:stretch>
                    <a:fillRect/>
                  </a:stretch>
                </pic:blipFill>
                <pic:spPr bwMode="auto">
                  <a:xfrm>
                    <a:off x="0" y="0"/>
                    <a:ext cx="1410970" cy="12687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F38"/>
    <w:multiLevelType w:val="hybridMultilevel"/>
    <w:tmpl w:val="1942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C4C0A"/>
    <w:multiLevelType w:val="hybridMultilevel"/>
    <w:tmpl w:val="C068FCEE"/>
    <w:lvl w:ilvl="0" w:tplc="9D540A5C">
      <w:start w:val="200"/>
      <w:numFmt w:val="bullet"/>
      <w:lvlText w:val="•"/>
      <w:lvlJc w:val="left"/>
      <w:pPr>
        <w:ind w:left="1080" w:hanging="72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A5426"/>
    <w:multiLevelType w:val="hybridMultilevel"/>
    <w:tmpl w:val="D608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B7731"/>
    <w:multiLevelType w:val="hybridMultilevel"/>
    <w:tmpl w:val="83AE53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69D7"/>
    <w:multiLevelType w:val="hybridMultilevel"/>
    <w:tmpl w:val="4C52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841AC"/>
    <w:multiLevelType w:val="hybridMultilevel"/>
    <w:tmpl w:val="0EBA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43704"/>
    <w:multiLevelType w:val="hybridMultilevel"/>
    <w:tmpl w:val="2D8E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737E0"/>
    <w:multiLevelType w:val="hybridMultilevel"/>
    <w:tmpl w:val="A1FC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B4066"/>
    <w:multiLevelType w:val="hybridMultilevel"/>
    <w:tmpl w:val="A77A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913B9"/>
    <w:multiLevelType w:val="hybridMultilevel"/>
    <w:tmpl w:val="C77ED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7335D9"/>
    <w:multiLevelType w:val="hybridMultilevel"/>
    <w:tmpl w:val="261A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A0AE4"/>
    <w:multiLevelType w:val="hybridMultilevel"/>
    <w:tmpl w:val="5EAE9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BA3341"/>
    <w:multiLevelType w:val="hybridMultilevel"/>
    <w:tmpl w:val="B4EC3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4A64A4"/>
    <w:multiLevelType w:val="hybridMultilevel"/>
    <w:tmpl w:val="4FEEEFC6"/>
    <w:lvl w:ilvl="0" w:tplc="9796EB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F7B72"/>
    <w:multiLevelType w:val="hybridMultilevel"/>
    <w:tmpl w:val="276A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E1D9B"/>
    <w:multiLevelType w:val="hybridMultilevel"/>
    <w:tmpl w:val="0DA6E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870DF"/>
    <w:multiLevelType w:val="hybridMultilevel"/>
    <w:tmpl w:val="D1D8F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62251F"/>
    <w:multiLevelType w:val="hybridMultilevel"/>
    <w:tmpl w:val="3F24BDFE"/>
    <w:lvl w:ilvl="0" w:tplc="58FC2F96">
      <w:start w:val="1"/>
      <w:numFmt w:val="decimal"/>
      <w:lvlText w:val="%1."/>
      <w:lvlJc w:val="left"/>
      <w:pPr>
        <w:ind w:left="1080" w:hanging="720"/>
      </w:pPr>
      <w:rPr>
        <w:rFonts w:asciiTheme="majorHAnsi" w:eastAsia="Calibr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E2372"/>
    <w:multiLevelType w:val="hybridMultilevel"/>
    <w:tmpl w:val="F2042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07BE9"/>
    <w:multiLevelType w:val="hybridMultilevel"/>
    <w:tmpl w:val="FB9C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55A0E"/>
    <w:multiLevelType w:val="hybridMultilevel"/>
    <w:tmpl w:val="4336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026E2"/>
    <w:multiLevelType w:val="hybridMultilevel"/>
    <w:tmpl w:val="28BC1388"/>
    <w:lvl w:ilvl="0" w:tplc="C810AA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C5A62"/>
    <w:multiLevelType w:val="hybridMultilevel"/>
    <w:tmpl w:val="B978A53E"/>
    <w:lvl w:ilvl="0" w:tplc="68A265DA">
      <w:start w:val="1"/>
      <w:numFmt w:val="decimal"/>
      <w:lvlText w:val="%1."/>
      <w:lvlJc w:val="left"/>
      <w:pPr>
        <w:ind w:left="720" w:hanging="360"/>
      </w:pPr>
      <w:rPr>
        <w:rFonts w:ascii="Georgia" w:hAnsi="Georgi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6"/>
  </w:num>
  <w:num w:numId="4">
    <w:abstractNumId w:val="3"/>
  </w:num>
  <w:num w:numId="5">
    <w:abstractNumId w:val="10"/>
  </w:num>
  <w:num w:numId="6">
    <w:abstractNumId w:val="19"/>
  </w:num>
  <w:num w:numId="7">
    <w:abstractNumId w:val="15"/>
  </w:num>
  <w:num w:numId="8">
    <w:abstractNumId w:val="20"/>
  </w:num>
  <w:num w:numId="9">
    <w:abstractNumId w:val="1"/>
  </w:num>
  <w:num w:numId="10">
    <w:abstractNumId w:val="18"/>
  </w:num>
  <w:num w:numId="11">
    <w:abstractNumId w:val="17"/>
  </w:num>
  <w:num w:numId="12">
    <w:abstractNumId w:val="14"/>
  </w:num>
  <w:num w:numId="13">
    <w:abstractNumId w:val="5"/>
  </w:num>
  <w:num w:numId="14">
    <w:abstractNumId w:val="4"/>
  </w:num>
  <w:num w:numId="15">
    <w:abstractNumId w:val="7"/>
  </w:num>
  <w:num w:numId="16">
    <w:abstractNumId w:val="22"/>
  </w:num>
  <w:num w:numId="17">
    <w:abstractNumId w:val="8"/>
  </w:num>
  <w:num w:numId="18">
    <w:abstractNumId w:val="9"/>
  </w:num>
  <w:num w:numId="19">
    <w:abstractNumId w:val="12"/>
  </w:num>
  <w:num w:numId="20">
    <w:abstractNumId w:val="11"/>
  </w:num>
  <w:num w:numId="21">
    <w:abstractNumId w:val="2"/>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26"/>
    <w:rsid w:val="0000138D"/>
    <w:rsid w:val="00012342"/>
    <w:rsid w:val="000152DD"/>
    <w:rsid w:val="00021EF9"/>
    <w:rsid w:val="00023FB5"/>
    <w:rsid w:val="00033625"/>
    <w:rsid w:val="00033F18"/>
    <w:rsid w:val="0004479F"/>
    <w:rsid w:val="0005731A"/>
    <w:rsid w:val="000A21F9"/>
    <w:rsid w:val="000A554F"/>
    <w:rsid w:val="000B33EB"/>
    <w:rsid w:val="000B3DF3"/>
    <w:rsid w:val="000B3E21"/>
    <w:rsid w:val="000B45F0"/>
    <w:rsid w:val="000B55F0"/>
    <w:rsid w:val="000C4599"/>
    <w:rsid w:val="000C5CCC"/>
    <w:rsid w:val="000D6481"/>
    <w:rsid w:val="000E0ACA"/>
    <w:rsid w:val="000E16B9"/>
    <w:rsid w:val="00117137"/>
    <w:rsid w:val="00117CFE"/>
    <w:rsid w:val="001234C3"/>
    <w:rsid w:val="001276EC"/>
    <w:rsid w:val="00132750"/>
    <w:rsid w:val="00134488"/>
    <w:rsid w:val="00157069"/>
    <w:rsid w:val="00174443"/>
    <w:rsid w:val="00176305"/>
    <w:rsid w:val="00190998"/>
    <w:rsid w:val="001954C2"/>
    <w:rsid w:val="001A3B91"/>
    <w:rsid w:val="001A3BFD"/>
    <w:rsid w:val="001A42F7"/>
    <w:rsid w:val="001A64C4"/>
    <w:rsid w:val="001B0340"/>
    <w:rsid w:val="001B7182"/>
    <w:rsid w:val="001C1FC0"/>
    <w:rsid w:val="001D688A"/>
    <w:rsid w:val="001E2DAC"/>
    <w:rsid w:val="001F0870"/>
    <w:rsid w:val="001F10AB"/>
    <w:rsid w:val="00214E19"/>
    <w:rsid w:val="00225674"/>
    <w:rsid w:val="00235898"/>
    <w:rsid w:val="002369EF"/>
    <w:rsid w:val="00241A3E"/>
    <w:rsid w:val="00277590"/>
    <w:rsid w:val="002856C2"/>
    <w:rsid w:val="002932F3"/>
    <w:rsid w:val="002A1E03"/>
    <w:rsid w:val="002A6E81"/>
    <w:rsid w:val="002C5832"/>
    <w:rsid w:val="002D592E"/>
    <w:rsid w:val="002D7006"/>
    <w:rsid w:val="002E67C7"/>
    <w:rsid w:val="002F3597"/>
    <w:rsid w:val="002F48CE"/>
    <w:rsid w:val="00320630"/>
    <w:rsid w:val="00335B10"/>
    <w:rsid w:val="0033779C"/>
    <w:rsid w:val="00337DB2"/>
    <w:rsid w:val="00371EF7"/>
    <w:rsid w:val="0037298D"/>
    <w:rsid w:val="00372F7B"/>
    <w:rsid w:val="00382771"/>
    <w:rsid w:val="00382F7E"/>
    <w:rsid w:val="00383734"/>
    <w:rsid w:val="003850A8"/>
    <w:rsid w:val="003866BD"/>
    <w:rsid w:val="0039030D"/>
    <w:rsid w:val="00392415"/>
    <w:rsid w:val="003958F0"/>
    <w:rsid w:val="003C38AD"/>
    <w:rsid w:val="003C7C6B"/>
    <w:rsid w:val="003E5F23"/>
    <w:rsid w:val="003F5C39"/>
    <w:rsid w:val="003F79B1"/>
    <w:rsid w:val="003F7D58"/>
    <w:rsid w:val="00412D22"/>
    <w:rsid w:val="00412FB5"/>
    <w:rsid w:val="00414382"/>
    <w:rsid w:val="00416FBD"/>
    <w:rsid w:val="00422180"/>
    <w:rsid w:val="004274D0"/>
    <w:rsid w:val="004318D0"/>
    <w:rsid w:val="00432691"/>
    <w:rsid w:val="00451370"/>
    <w:rsid w:val="00453296"/>
    <w:rsid w:val="004660C4"/>
    <w:rsid w:val="00482A76"/>
    <w:rsid w:val="00482CC1"/>
    <w:rsid w:val="00490393"/>
    <w:rsid w:val="00493E37"/>
    <w:rsid w:val="00493E90"/>
    <w:rsid w:val="004B2ECE"/>
    <w:rsid w:val="004B744F"/>
    <w:rsid w:val="004C2B40"/>
    <w:rsid w:val="004D2A80"/>
    <w:rsid w:val="004D5735"/>
    <w:rsid w:val="004E3744"/>
    <w:rsid w:val="004F5762"/>
    <w:rsid w:val="004F6B52"/>
    <w:rsid w:val="0052042F"/>
    <w:rsid w:val="00525CA0"/>
    <w:rsid w:val="00563FEB"/>
    <w:rsid w:val="00581B3D"/>
    <w:rsid w:val="005838B0"/>
    <w:rsid w:val="005844AF"/>
    <w:rsid w:val="00584ADF"/>
    <w:rsid w:val="0058521A"/>
    <w:rsid w:val="00586B44"/>
    <w:rsid w:val="00591A4C"/>
    <w:rsid w:val="00592604"/>
    <w:rsid w:val="0059590A"/>
    <w:rsid w:val="005A659C"/>
    <w:rsid w:val="005B0BF8"/>
    <w:rsid w:val="005C1639"/>
    <w:rsid w:val="005C2717"/>
    <w:rsid w:val="005C36BE"/>
    <w:rsid w:val="005D3F0A"/>
    <w:rsid w:val="005F5420"/>
    <w:rsid w:val="005F5B2E"/>
    <w:rsid w:val="005F7B22"/>
    <w:rsid w:val="00636F82"/>
    <w:rsid w:val="00644674"/>
    <w:rsid w:val="00646250"/>
    <w:rsid w:val="0065354F"/>
    <w:rsid w:val="0065427F"/>
    <w:rsid w:val="006542E4"/>
    <w:rsid w:val="006555C6"/>
    <w:rsid w:val="0066766D"/>
    <w:rsid w:val="00671EC4"/>
    <w:rsid w:val="00672FB3"/>
    <w:rsid w:val="00681864"/>
    <w:rsid w:val="006849F3"/>
    <w:rsid w:val="00695872"/>
    <w:rsid w:val="0069709C"/>
    <w:rsid w:val="006B0290"/>
    <w:rsid w:val="006C7865"/>
    <w:rsid w:val="006D5C63"/>
    <w:rsid w:val="006F339E"/>
    <w:rsid w:val="00707363"/>
    <w:rsid w:val="00716CB7"/>
    <w:rsid w:val="00720D56"/>
    <w:rsid w:val="007262DB"/>
    <w:rsid w:val="00742168"/>
    <w:rsid w:val="0076192A"/>
    <w:rsid w:val="00763ACF"/>
    <w:rsid w:val="007738B7"/>
    <w:rsid w:val="0077628E"/>
    <w:rsid w:val="007958ED"/>
    <w:rsid w:val="007B0A38"/>
    <w:rsid w:val="007B30BC"/>
    <w:rsid w:val="007B380B"/>
    <w:rsid w:val="007B3E4F"/>
    <w:rsid w:val="007B7EF4"/>
    <w:rsid w:val="007D4965"/>
    <w:rsid w:val="007D515C"/>
    <w:rsid w:val="007D6D45"/>
    <w:rsid w:val="007D79EE"/>
    <w:rsid w:val="00801DE4"/>
    <w:rsid w:val="00802BA0"/>
    <w:rsid w:val="0080313E"/>
    <w:rsid w:val="00810D22"/>
    <w:rsid w:val="00814C53"/>
    <w:rsid w:val="00821AF5"/>
    <w:rsid w:val="00830328"/>
    <w:rsid w:val="00832027"/>
    <w:rsid w:val="00842E91"/>
    <w:rsid w:val="008459FE"/>
    <w:rsid w:val="008507E3"/>
    <w:rsid w:val="00853BC3"/>
    <w:rsid w:val="00861335"/>
    <w:rsid w:val="0086401C"/>
    <w:rsid w:val="008750EF"/>
    <w:rsid w:val="00877F70"/>
    <w:rsid w:val="00881E56"/>
    <w:rsid w:val="00892FFE"/>
    <w:rsid w:val="00893545"/>
    <w:rsid w:val="008942E2"/>
    <w:rsid w:val="008A2CCB"/>
    <w:rsid w:val="008A4008"/>
    <w:rsid w:val="008B0E53"/>
    <w:rsid w:val="008B52BF"/>
    <w:rsid w:val="008B6EE5"/>
    <w:rsid w:val="008C1D6D"/>
    <w:rsid w:val="008C2E8A"/>
    <w:rsid w:val="008D04E6"/>
    <w:rsid w:val="008E62E2"/>
    <w:rsid w:val="008F6362"/>
    <w:rsid w:val="009032AC"/>
    <w:rsid w:val="00934826"/>
    <w:rsid w:val="009366E6"/>
    <w:rsid w:val="0094013D"/>
    <w:rsid w:val="00945015"/>
    <w:rsid w:val="009556B9"/>
    <w:rsid w:val="009569D4"/>
    <w:rsid w:val="00956FC4"/>
    <w:rsid w:val="00963693"/>
    <w:rsid w:val="00980CB5"/>
    <w:rsid w:val="009B3FF1"/>
    <w:rsid w:val="009B43F8"/>
    <w:rsid w:val="009B7E6A"/>
    <w:rsid w:val="009C65D1"/>
    <w:rsid w:val="009D3B88"/>
    <w:rsid w:val="009D71C1"/>
    <w:rsid w:val="009E365F"/>
    <w:rsid w:val="009E4591"/>
    <w:rsid w:val="009F66B8"/>
    <w:rsid w:val="00A006BB"/>
    <w:rsid w:val="00A06EE3"/>
    <w:rsid w:val="00A119E3"/>
    <w:rsid w:val="00A13AB2"/>
    <w:rsid w:val="00A16362"/>
    <w:rsid w:val="00A1787A"/>
    <w:rsid w:val="00A20925"/>
    <w:rsid w:val="00A26791"/>
    <w:rsid w:val="00A27E36"/>
    <w:rsid w:val="00A30DE9"/>
    <w:rsid w:val="00A30F3A"/>
    <w:rsid w:val="00A370A8"/>
    <w:rsid w:val="00A40DB7"/>
    <w:rsid w:val="00A42B83"/>
    <w:rsid w:val="00A63E62"/>
    <w:rsid w:val="00A64901"/>
    <w:rsid w:val="00A65D85"/>
    <w:rsid w:val="00A77C62"/>
    <w:rsid w:val="00A80EA3"/>
    <w:rsid w:val="00A9189B"/>
    <w:rsid w:val="00A92DD1"/>
    <w:rsid w:val="00A942F1"/>
    <w:rsid w:val="00AB2677"/>
    <w:rsid w:val="00AC1045"/>
    <w:rsid w:val="00AE364E"/>
    <w:rsid w:val="00AE6289"/>
    <w:rsid w:val="00AF7705"/>
    <w:rsid w:val="00B33BFD"/>
    <w:rsid w:val="00B369F3"/>
    <w:rsid w:val="00B409BB"/>
    <w:rsid w:val="00B43B71"/>
    <w:rsid w:val="00B43B88"/>
    <w:rsid w:val="00B55E19"/>
    <w:rsid w:val="00B6066E"/>
    <w:rsid w:val="00B63E06"/>
    <w:rsid w:val="00BB402D"/>
    <w:rsid w:val="00BD4335"/>
    <w:rsid w:val="00BE6B1D"/>
    <w:rsid w:val="00C014DB"/>
    <w:rsid w:val="00C03AEA"/>
    <w:rsid w:val="00C05325"/>
    <w:rsid w:val="00C10B06"/>
    <w:rsid w:val="00C1382B"/>
    <w:rsid w:val="00C14787"/>
    <w:rsid w:val="00C17E8D"/>
    <w:rsid w:val="00C21381"/>
    <w:rsid w:val="00C40413"/>
    <w:rsid w:val="00C40B31"/>
    <w:rsid w:val="00C42238"/>
    <w:rsid w:val="00C450E2"/>
    <w:rsid w:val="00C60218"/>
    <w:rsid w:val="00C63675"/>
    <w:rsid w:val="00C70DF4"/>
    <w:rsid w:val="00C816BF"/>
    <w:rsid w:val="00C8567A"/>
    <w:rsid w:val="00C94D09"/>
    <w:rsid w:val="00CB2771"/>
    <w:rsid w:val="00CB6CD3"/>
    <w:rsid w:val="00CB705F"/>
    <w:rsid w:val="00CD62B0"/>
    <w:rsid w:val="00CD752E"/>
    <w:rsid w:val="00CE10D9"/>
    <w:rsid w:val="00CF0F59"/>
    <w:rsid w:val="00CF3D5E"/>
    <w:rsid w:val="00D12216"/>
    <w:rsid w:val="00D16E9A"/>
    <w:rsid w:val="00D26E02"/>
    <w:rsid w:val="00D35E59"/>
    <w:rsid w:val="00D412FD"/>
    <w:rsid w:val="00D501E2"/>
    <w:rsid w:val="00D50B5F"/>
    <w:rsid w:val="00D53110"/>
    <w:rsid w:val="00D57B1C"/>
    <w:rsid w:val="00D61C8A"/>
    <w:rsid w:val="00D62519"/>
    <w:rsid w:val="00D67FB6"/>
    <w:rsid w:val="00D73213"/>
    <w:rsid w:val="00D84A78"/>
    <w:rsid w:val="00DA1BE3"/>
    <w:rsid w:val="00DB1B13"/>
    <w:rsid w:val="00DD2F23"/>
    <w:rsid w:val="00DD752F"/>
    <w:rsid w:val="00DF2E31"/>
    <w:rsid w:val="00E01F21"/>
    <w:rsid w:val="00E05B14"/>
    <w:rsid w:val="00E07430"/>
    <w:rsid w:val="00E2728E"/>
    <w:rsid w:val="00E31094"/>
    <w:rsid w:val="00E34162"/>
    <w:rsid w:val="00E50699"/>
    <w:rsid w:val="00E5467C"/>
    <w:rsid w:val="00E61887"/>
    <w:rsid w:val="00E6727B"/>
    <w:rsid w:val="00E70E7D"/>
    <w:rsid w:val="00E81AA2"/>
    <w:rsid w:val="00EC2718"/>
    <w:rsid w:val="00EE043F"/>
    <w:rsid w:val="00EE13F1"/>
    <w:rsid w:val="00EF2C33"/>
    <w:rsid w:val="00F00A04"/>
    <w:rsid w:val="00F04480"/>
    <w:rsid w:val="00F048AE"/>
    <w:rsid w:val="00F13A28"/>
    <w:rsid w:val="00F13E0A"/>
    <w:rsid w:val="00F243C8"/>
    <w:rsid w:val="00F24490"/>
    <w:rsid w:val="00F2652E"/>
    <w:rsid w:val="00F320E0"/>
    <w:rsid w:val="00F44924"/>
    <w:rsid w:val="00F4662A"/>
    <w:rsid w:val="00F507F8"/>
    <w:rsid w:val="00F62EF9"/>
    <w:rsid w:val="00F66232"/>
    <w:rsid w:val="00F71BD8"/>
    <w:rsid w:val="00F814CD"/>
    <w:rsid w:val="00F91A72"/>
    <w:rsid w:val="00F977DB"/>
    <w:rsid w:val="00FB6285"/>
    <w:rsid w:val="00FC0251"/>
    <w:rsid w:val="00FC02B2"/>
    <w:rsid w:val="00FC1EAE"/>
    <w:rsid w:val="00FD6C7F"/>
    <w:rsid w:val="00FE5E70"/>
    <w:rsid w:val="00FF0FEC"/>
    <w:rsid w:val="00FF53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23680"/>
  <w15:chartTrackingRefBased/>
  <w15:docId w15:val="{0F390A15-2E05-471A-82B0-AB1D4250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826"/>
    <w:pPr>
      <w:spacing w:after="0" w:line="240" w:lineRule="atLeast"/>
    </w:pPr>
    <w:rPr>
      <w:rFonts w:eastAsia="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4826"/>
    <w:pPr>
      <w:tabs>
        <w:tab w:val="center" w:pos="4513"/>
        <w:tab w:val="right" w:pos="9026"/>
      </w:tabs>
      <w:spacing w:line="240" w:lineRule="auto"/>
    </w:pPr>
  </w:style>
  <w:style w:type="character" w:customStyle="1" w:styleId="HeaderChar">
    <w:name w:val="Header Char"/>
    <w:basedOn w:val="DefaultParagraphFont"/>
    <w:link w:val="Header"/>
    <w:rsid w:val="00934826"/>
    <w:rPr>
      <w:rFonts w:eastAsia="Calibri" w:cs="Times New Roman"/>
      <w:lang w:val="en-GB"/>
    </w:rPr>
  </w:style>
  <w:style w:type="paragraph" w:styleId="Footer">
    <w:name w:val="footer"/>
    <w:basedOn w:val="Normal"/>
    <w:link w:val="FooterChar"/>
    <w:uiPriority w:val="99"/>
    <w:semiHidden/>
    <w:rsid w:val="00934826"/>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34826"/>
    <w:rPr>
      <w:rFonts w:eastAsia="Calibri" w:cs="Times New Roman"/>
      <w:lang w:val="en-GB"/>
    </w:rPr>
  </w:style>
  <w:style w:type="paragraph" w:styleId="Title">
    <w:name w:val="Title"/>
    <w:basedOn w:val="Normal"/>
    <w:next w:val="Normal"/>
    <w:link w:val="TitleChar"/>
    <w:uiPriority w:val="10"/>
    <w:qFormat/>
    <w:rsid w:val="00934826"/>
    <w:pPr>
      <w:pBdr>
        <w:top w:val="single" w:sz="8" w:space="1" w:color="DC6900"/>
      </w:pBdr>
      <w:spacing w:after="240" w:line="240" w:lineRule="auto"/>
      <w:contextualSpacing/>
    </w:pPr>
    <w:rPr>
      <w:rFonts w:ascii="Cambria" w:eastAsia="Times New Roman" w:hAnsi="Cambria"/>
      <w:b/>
      <w:i/>
      <w:color w:val="000000"/>
      <w:spacing w:val="5"/>
      <w:kern w:val="28"/>
      <w:sz w:val="24"/>
      <w:szCs w:val="52"/>
    </w:rPr>
  </w:style>
  <w:style w:type="character" w:customStyle="1" w:styleId="TitleChar">
    <w:name w:val="Title Char"/>
    <w:basedOn w:val="DefaultParagraphFont"/>
    <w:link w:val="Title"/>
    <w:uiPriority w:val="10"/>
    <w:rsid w:val="00934826"/>
    <w:rPr>
      <w:rFonts w:ascii="Cambria" w:eastAsia="Times New Roman" w:hAnsi="Cambria" w:cs="Times New Roman"/>
      <w:b/>
      <w:i/>
      <w:color w:val="000000"/>
      <w:spacing w:val="5"/>
      <w:kern w:val="28"/>
      <w:sz w:val="24"/>
      <w:szCs w:val="52"/>
      <w:lang w:val="en-GB"/>
    </w:rPr>
  </w:style>
  <w:style w:type="paragraph" w:styleId="ListParagraph">
    <w:name w:val="List Paragraph"/>
    <w:basedOn w:val="Normal"/>
    <w:uiPriority w:val="34"/>
    <w:unhideWhenUsed/>
    <w:qFormat/>
    <w:rsid w:val="00934826"/>
    <w:pPr>
      <w:spacing w:after="240"/>
      <w:ind w:left="720"/>
      <w:contextualSpacing/>
    </w:pPr>
    <w:rPr>
      <w:rFonts w:ascii="Calibri" w:eastAsia="Times New Roman" w:hAnsi="Calibri"/>
      <w:color w:val="000000"/>
      <w:sz w:val="21"/>
      <w:szCs w:val="21"/>
      <w:lang w:eastAsia="zh-CN"/>
    </w:rPr>
  </w:style>
  <w:style w:type="character" w:styleId="CommentReference">
    <w:name w:val="annotation reference"/>
    <w:basedOn w:val="DefaultParagraphFont"/>
    <w:uiPriority w:val="99"/>
    <w:semiHidden/>
    <w:unhideWhenUsed/>
    <w:rsid w:val="00934826"/>
    <w:rPr>
      <w:sz w:val="16"/>
      <w:szCs w:val="16"/>
    </w:rPr>
  </w:style>
  <w:style w:type="paragraph" w:styleId="CommentText">
    <w:name w:val="annotation text"/>
    <w:basedOn w:val="Normal"/>
    <w:link w:val="CommentTextChar"/>
    <w:uiPriority w:val="99"/>
    <w:semiHidden/>
    <w:unhideWhenUsed/>
    <w:rsid w:val="00934826"/>
    <w:pPr>
      <w:spacing w:line="240" w:lineRule="auto"/>
    </w:pPr>
    <w:rPr>
      <w:szCs w:val="20"/>
    </w:rPr>
  </w:style>
  <w:style w:type="character" w:customStyle="1" w:styleId="CommentTextChar">
    <w:name w:val="Comment Text Char"/>
    <w:basedOn w:val="DefaultParagraphFont"/>
    <w:link w:val="CommentText"/>
    <w:uiPriority w:val="99"/>
    <w:semiHidden/>
    <w:rsid w:val="00934826"/>
    <w:rPr>
      <w:rFonts w:eastAsia="Calibri" w:cs="Times New Roman"/>
      <w:szCs w:val="20"/>
      <w:lang w:val="en-GB"/>
    </w:rPr>
  </w:style>
  <w:style w:type="paragraph" w:styleId="BalloonText">
    <w:name w:val="Balloon Text"/>
    <w:basedOn w:val="Normal"/>
    <w:link w:val="BalloonTextChar"/>
    <w:uiPriority w:val="99"/>
    <w:semiHidden/>
    <w:unhideWhenUsed/>
    <w:rsid w:val="00F265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52E"/>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F2652E"/>
    <w:rPr>
      <w:b/>
      <w:bCs/>
    </w:rPr>
  </w:style>
  <w:style w:type="character" w:customStyle="1" w:styleId="CommentSubjectChar">
    <w:name w:val="Comment Subject Char"/>
    <w:basedOn w:val="CommentTextChar"/>
    <w:link w:val="CommentSubject"/>
    <w:uiPriority w:val="99"/>
    <w:semiHidden/>
    <w:rsid w:val="00F2652E"/>
    <w:rPr>
      <w:rFonts w:eastAsia="Calibri" w:cs="Times New Roman"/>
      <w:b/>
      <w:bCs/>
      <w:szCs w:val="20"/>
      <w:lang w:val="en-GB"/>
    </w:rPr>
  </w:style>
  <w:style w:type="paragraph" w:styleId="Revision">
    <w:name w:val="Revision"/>
    <w:hidden/>
    <w:uiPriority w:val="99"/>
    <w:semiHidden/>
    <w:rsid w:val="005A659C"/>
    <w:pPr>
      <w:spacing w:after="0" w:line="240" w:lineRule="auto"/>
    </w:pPr>
    <w:rPr>
      <w:rFonts w:eastAsia="Calibri" w:cs="Times New Roman"/>
      <w:lang w:val="en-GB"/>
    </w:rPr>
  </w:style>
  <w:style w:type="character" w:styleId="Hyperlink">
    <w:name w:val="Hyperlink"/>
    <w:basedOn w:val="DefaultParagraphFont"/>
    <w:uiPriority w:val="99"/>
    <w:unhideWhenUsed/>
    <w:rsid w:val="00412FB5"/>
    <w:rPr>
      <w:color w:val="0000FF" w:themeColor="hyperlink"/>
      <w:u w:val="single"/>
    </w:rPr>
  </w:style>
  <w:style w:type="character" w:customStyle="1" w:styleId="left">
    <w:name w:val="left"/>
    <w:basedOn w:val="DefaultParagraphFont"/>
    <w:rsid w:val="00453296"/>
  </w:style>
  <w:style w:type="paragraph" w:styleId="NormalWeb">
    <w:name w:val="Normal (Web)"/>
    <w:basedOn w:val="Normal"/>
    <w:uiPriority w:val="99"/>
    <w:unhideWhenUsed/>
    <w:rsid w:val="00AF7705"/>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AF7705"/>
    <w:rPr>
      <w:b/>
      <w:bCs/>
    </w:rPr>
  </w:style>
  <w:style w:type="character" w:customStyle="1" w:styleId="apple-converted-space">
    <w:name w:val="apple-converted-space"/>
    <w:basedOn w:val="DefaultParagraphFont"/>
    <w:rsid w:val="00AF7705"/>
  </w:style>
  <w:style w:type="character" w:styleId="Emphasis">
    <w:name w:val="Emphasis"/>
    <w:basedOn w:val="DefaultParagraphFont"/>
    <w:uiPriority w:val="20"/>
    <w:qFormat/>
    <w:rsid w:val="009D3B88"/>
    <w:rPr>
      <w:i/>
      <w:iCs/>
    </w:rPr>
  </w:style>
  <w:style w:type="table" w:styleId="TableGrid">
    <w:name w:val="Table Grid"/>
    <w:basedOn w:val="TableNormal"/>
    <w:uiPriority w:val="59"/>
    <w:rsid w:val="002369EF"/>
    <w:pPr>
      <w:spacing w:after="0" w:line="240" w:lineRule="auto"/>
    </w:pPr>
    <w:rPr>
      <w:rFonts w:ascii="Calibri" w:eastAsiaTheme="minorEastAsia" w:hAnsi="Calibri" w:cs="Times New Roman"/>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4D2A80"/>
    <w:rPr>
      <w:i/>
      <w:iCs/>
    </w:rPr>
  </w:style>
  <w:style w:type="paragraph" w:styleId="BodyText">
    <w:name w:val="Body Text"/>
    <w:basedOn w:val="Normal"/>
    <w:link w:val="BodyTextChar"/>
    <w:qFormat/>
    <w:rsid w:val="00A40DB7"/>
    <w:pPr>
      <w:spacing w:after="240"/>
    </w:pPr>
    <w:rPr>
      <w:rFonts w:eastAsiaTheme="minorHAnsi" w:cstheme="minorBidi"/>
      <w:szCs w:val="20"/>
    </w:rPr>
  </w:style>
  <w:style w:type="character" w:customStyle="1" w:styleId="BodyTextChar">
    <w:name w:val="Body Text Char"/>
    <w:basedOn w:val="DefaultParagraphFont"/>
    <w:link w:val="BodyText"/>
    <w:rsid w:val="00A40DB7"/>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4329">
      <w:bodyDiv w:val="1"/>
      <w:marLeft w:val="0"/>
      <w:marRight w:val="0"/>
      <w:marTop w:val="0"/>
      <w:marBottom w:val="0"/>
      <w:divBdr>
        <w:top w:val="none" w:sz="0" w:space="0" w:color="auto"/>
        <w:left w:val="none" w:sz="0" w:space="0" w:color="auto"/>
        <w:bottom w:val="none" w:sz="0" w:space="0" w:color="auto"/>
        <w:right w:val="none" w:sz="0" w:space="0" w:color="auto"/>
      </w:divBdr>
    </w:div>
    <w:div w:id="240994614">
      <w:bodyDiv w:val="1"/>
      <w:marLeft w:val="0"/>
      <w:marRight w:val="0"/>
      <w:marTop w:val="0"/>
      <w:marBottom w:val="0"/>
      <w:divBdr>
        <w:top w:val="none" w:sz="0" w:space="0" w:color="auto"/>
        <w:left w:val="none" w:sz="0" w:space="0" w:color="auto"/>
        <w:bottom w:val="none" w:sz="0" w:space="0" w:color="auto"/>
        <w:right w:val="none" w:sz="0" w:space="0" w:color="auto"/>
      </w:divBdr>
    </w:div>
    <w:div w:id="381295868">
      <w:bodyDiv w:val="1"/>
      <w:marLeft w:val="0"/>
      <w:marRight w:val="0"/>
      <w:marTop w:val="0"/>
      <w:marBottom w:val="0"/>
      <w:divBdr>
        <w:top w:val="none" w:sz="0" w:space="0" w:color="auto"/>
        <w:left w:val="none" w:sz="0" w:space="0" w:color="auto"/>
        <w:bottom w:val="none" w:sz="0" w:space="0" w:color="auto"/>
        <w:right w:val="none" w:sz="0" w:space="0" w:color="auto"/>
      </w:divBdr>
      <w:divsChild>
        <w:div w:id="1033069541">
          <w:marLeft w:val="0"/>
          <w:marRight w:val="0"/>
          <w:marTop w:val="0"/>
          <w:marBottom w:val="0"/>
          <w:divBdr>
            <w:top w:val="none" w:sz="0" w:space="0" w:color="auto"/>
            <w:left w:val="none" w:sz="0" w:space="0" w:color="auto"/>
            <w:bottom w:val="none" w:sz="0" w:space="0" w:color="auto"/>
            <w:right w:val="none" w:sz="0" w:space="0" w:color="auto"/>
          </w:divBdr>
        </w:div>
        <w:div w:id="1669869261">
          <w:marLeft w:val="0"/>
          <w:marRight w:val="0"/>
          <w:marTop w:val="0"/>
          <w:marBottom w:val="0"/>
          <w:divBdr>
            <w:top w:val="none" w:sz="0" w:space="0" w:color="auto"/>
            <w:left w:val="none" w:sz="0" w:space="0" w:color="auto"/>
            <w:bottom w:val="none" w:sz="0" w:space="0" w:color="auto"/>
            <w:right w:val="none" w:sz="0" w:space="0" w:color="auto"/>
          </w:divBdr>
        </w:div>
      </w:divsChild>
    </w:div>
    <w:div w:id="535393644">
      <w:bodyDiv w:val="1"/>
      <w:marLeft w:val="0"/>
      <w:marRight w:val="0"/>
      <w:marTop w:val="0"/>
      <w:marBottom w:val="0"/>
      <w:divBdr>
        <w:top w:val="none" w:sz="0" w:space="0" w:color="auto"/>
        <w:left w:val="none" w:sz="0" w:space="0" w:color="auto"/>
        <w:bottom w:val="none" w:sz="0" w:space="0" w:color="auto"/>
        <w:right w:val="none" w:sz="0" w:space="0" w:color="auto"/>
      </w:divBdr>
    </w:div>
    <w:div w:id="1048187031">
      <w:bodyDiv w:val="1"/>
      <w:marLeft w:val="0"/>
      <w:marRight w:val="0"/>
      <w:marTop w:val="0"/>
      <w:marBottom w:val="0"/>
      <w:divBdr>
        <w:top w:val="none" w:sz="0" w:space="0" w:color="auto"/>
        <w:left w:val="none" w:sz="0" w:space="0" w:color="auto"/>
        <w:bottom w:val="none" w:sz="0" w:space="0" w:color="auto"/>
        <w:right w:val="none" w:sz="0" w:space="0" w:color="auto"/>
      </w:divBdr>
      <w:divsChild>
        <w:div w:id="3455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559309">
              <w:marLeft w:val="0"/>
              <w:marRight w:val="0"/>
              <w:marTop w:val="0"/>
              <w:marBottom w:val="0"/>
              <w:divBdr>
                <w:top w:val="none" w:sz="0" w:space="0" w:color="auto"/>
                <w:left w:val="none" w:sz="0" w:space="0" w:color="auto"/>
                <w:bottom w:val="none" w:sz="0" w:space="0" w:color="auto"/>
                <w:right w:val="none" w:sz="0" w:space="0" w:color="auto"/>
              </w:divBdr>
              <w:divsChild>
                <w:div w:id="1539658514">
                  <w:marLeft w:val="0"/>
                  <w:marRight w:val="0"/>
                  <w:marTop w:val="0"/>
                  <w:marBottom w:val="0"/>
                  <w:divBdr>
                    <w:top w:val="none" w:sz="0" w:space="0" w:color="auto"/>
                    <w:left w:val="none" w:sz="0" w:space="0" w:color="auto"/>
                    <w:bottom w:val="none" w:sz="0" w:space="0" w:color="auto"/>
                    <w:right w:val="none" w:sz="0" w:space="0" w:color="auto"/>
                  </w:divBdr>
                  <w:divsChild>
                    <w:div w:id="129243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511799">
                          <w:marLeft w:val="0"/>
                          <w:marRight w:val="0"/>
                          <w:marTop w:val="0"/>
                          <w:marBottom w:val="0"/>
                          <w:divBdr>
                            <w:top w:val="none" w:sz="0" w:space="0" w:color="auto"/>
                            <w:left w:val="none" w:sz="0" w:space="0" w:color="auto"/>
                            <w:bottom w:val="none" w:sz="0" w:space="0" w:color="auto"/>
                            <w:right w:val="none" w:sz="0" w:space="0" w:color="auto"/>
                          </w:divBdr>
                          <w:divsChild>
                            <w:div w:id="14667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617966">
      <w:bodyDiv w:val="1"/>
      <w:marLeft w:val="0"/>
      <w:marRight w:val="0"/>
      <w:marTop w:val="0"/>
      <w:marBottom w:val="0"/>
      <w:divBdr>
        <w:top w:val="none" w:sz="0" w:space="0" w:color="auto"/>
        <w:left w:val="none" w:sz="0" w:space="0" w:color="auto"/>
        <w:bottom w:val="none" w:sz="0" w:space="0" w:color="auto"/>
        <w:right w:val="none" w:sz="0" w:space="0" w:color="auto"/>
      </w:divBdr>
      <w:divsChild>
        <w:div w:id="1333490681">
          <w:marLeft w:val="0"/>
          <w:marRight w:val="0"/>
          <w:marTop w:val="0"/>
          <w:marBottom w:val="0"/>
          <w:divBdr>
            <w:top w:val="none" w:sz="0" w:space="0" w:color="auto"/>
            <w:left w:val="none" w:sz="0" w:space="0" w:color="auto"/>
            <w:bottom w:val="none" w:sz="0" w:space="0" w:color="auto"/>
            <w:right w:val="none" w:sz="0" w:space="0" w:color="auto"/>
          </w:divBdr>
          <w:divsChild>
            <w:div w:id="738752876">
              <w:marLeft w:val="0"/>
              <w:marRight w:val="0"/>
              <w:marTop w:val="0"/>
              <w:marBottom w:val="0"/>
              <w:divBdr>
                <w:top w:val="none" w:sz="0" w:space="0" w:color="auto"/>
                <w:left w:val="none" w:sz="0" w:space="0" w:color="auto"/>
                <w:bottom w:val="none" w:sz="0" w:space="0" w:color="auto"/>
                <w:right w:val="none" w:sz="0" w:space="0" w:color="auto"/>
              </w:divBdr>
              <w:divsChild>
                <w:div w:id="1019743160">
                  <w:marLeft w:val="0"/>
                  <w:marRight w:val="0"/>
                  <w:marTop w:val="0"/>
                  <w:marBottom w:val="0"/>
                  <w:divBdr>
                    <w:top w:val="none" w:sz="0" w:space="0" w:color="auto"/>
                    <w:left w:val="none" w:sz="0" w:space="0" w:color="auto"/>
                    <w:bottom w:val="none" w:sz="0" w:space="0" w:color="auto"/>
                    <w:right w:val="none" w:sz="0" w:space="0" w:color="auto"/>
                  </w:divBdr>
                  <w:divsChild>
                    <w:div w:id="880480535">
                      <w:marLeft w:val="0"/>
                      <w:marRight w:val="0"/>
                      <w:marTop w:val="0"/>
                      <w:marBottom w:val="0"/>
                      <w:divBdr>
                        <w:top w:val="none" w:sz="0" w:space="0" w:color="auto"/>
                        <w:left w:val="none" w:sz="0" w:space="0" w:color="auto"/>
                        <w:bottom w:val="none" w:sz="0" w:space="0" w:color="auto"/>
                        <w:right w:val="none" w:sz="0" w:space="0" w:color="auto"/>
                      </w:divBdr>
                      <w:divsChild>
                        <w:div w:id="1823810489">
                          <w:marLeft w:val="0"/>
                          <w:marRight w:val="0"/>
                          <w:marTop w:val="0"/>
                          <w:marBottom w:val="0"/>
                          <w:divBdr>
                            <w:top w:val="none" w:sz="0" w:space="0" w:color="auto"/>
                            <w:left w:val="none" w:sz="0" w:space="0" w:color="auto"/>
                            <w:bottom w:val="none" w:sz="0" w:space="0" w:color="auto"/>
                            <w:right w:val="none" w:sz="0" w:space="0" w:color="auto"/>
                          </w:divBdr>
                          <w:divsChild>
                            <w:div w:id="1270158073">
                              <w:marLeft w:val="0"/>
                              <w:marRight w:val="0"/>
                              <w:marTop w:val="0"/>
                              <w:marBottom w:val="0"/>
                              <w:divBdr>
                                <w:top w:val="none" w:sz="0" w:space="0" w:color="auto"/>
                                <w:left w:val="none" w:sz="0" w:space="0" w:color="auto"/>
                                <w:bottom w:val="none" w:sz="0" w:space="0" w:color="auto"/>
                                <w:right w:val="none" w:sz="0" w:space="0" w:color="auto"/>
                              </w:divBdr>
                              <w:divsChild>
                                <w:div w:id="1552963976">
                                  <w:marLeft w:val="0"/>
                                  <w:marRight w:val="0"/>
                                  <w:marTop w:val="0"/>
                                  <w:marBottom w:val="0"/>
                                  <w:divBdr>
                                    <w:top w:val="none" w:sz="0" w:space="0" w:color="auto"/>
                                    <w:left w:val="none" w:sz="0" w:space="0" w:color="auto"/>
                                    <w:bottom w:val="none" w:sz="0" w:space="0" w:color="auto"/>
                                    <w:right w:val="none" w:sz="0" w:space="0" w:color="auto"/>
                                  </w:divBdr>
                                  <w:divsChild>
                                    <w:div w:id="13317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1656">
                          <w:marLeft w:val="0"/>
                          <w:marRight w:val="0"/>
                          <w:marTop w:val="0"/>
                          <w:marBottom w:val="0"/>
                          <w:divBdr>
                            <w:top w:val="none" w:sz="0" w:space="0" w:color="auto"/>
                            <w:left w:val="none" w:sz="0" w:space="0" w:color="auto"/>
                            <w:bottom w:val="none" w:sz="0" w:space="0" w:color="auto"/>
                            <w:right w:val="none" w:sz="0" w:space="0" w:color="auto"/>
                          </w:divBdr>
                          <w:divsChild>
                            <w:div w:id="1801872558">
                              <w:marLeft w:val="0"/>
                              <w:marRight w:val="0"/>
                              <w:marTop w:val="0"/>
                              <w:marBottom w:val="0"/>
                              <w:divBdr>
                                <w:top w:val="none" w:sz="0" w:space="0" w:color="auto"/>
                                <w:left w:val="none" w:sz="0" w:space="0" w:color="auto"/>
                                <w:bottom w:val="none" w:sz="0" w:space="0" w:color="auto"/>
                                <w:right w:val="none" w:sz="0" w:space="0" w:color="auto"/>
                              </w:divBdr>
                              <w:divsChild>
                                <w:div w:id="1579703882">
                                  <w:marLeft w:val="0"/>
                                  <w:marRight w:val="0"/>
                                  <w:marTop w:val="0"/>
                                  <w:marBottom w:val="0"/>
                                  <w:divBdr>
                                    <w:top w:val="none" w:sz="0" w:space="0" w:color="auto"/>
                                    <w:left w:val="none" w:sz="0" w:space="0" w:color="auto"/>
                                    <w:bottom w:val="none" w:sz="0" w:space="0" w:color="auto"/>
                                    <w:right w:val="none" w:sz="0" w:space="0" w:color="auto"/>
                                  </w:divBdr>
                                  <w:divsChild>
                                    <w:div w:id="19867416">
                                      <w:marLeft w:val="0"/>
                                      <w:marRight w:val="0"/>
                                      <w:marTop w:val="0"/>
                                      <w:marBottom w:val="0"/>
                                      <w:divBdr>
                                        <w:top w:val="none" w:sz="0" w:space="0" w:color="auto"/>
                                        <w:left w:val="none" w:sz="0" w:space="0" w:color="auto"/>
                                        <w:bottom w:val="none" w:sz="0" w:space="0" w:color="auto"/>
                                        <w:right w:val="none" w:sz="0" w:space="0" w:color="auto"/>
                                      </w:divBdr>
                                      <w:divsChild>
                                        <w:div w:id="21010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998535">
      <w:bodyDiv w:val="1"/>
      <w:marLeft w:val="0"/>
      <w:marRight w:val="0"/>
      <w:marTop w:val="0"/>
      <w:marBottom w:val="0"/>
      <w:divBdr>
        <w:top w:val="none" w:sz="0" w:space="0" w:color="auto"/>
        <w:left w:val="none" w:sz="0" w:space="0" w:color="auto"/>
        <w:bottom w:val="none" w:sz="0" w:space="0" w:color="auto"/>
        <w:right w:val="none" w:sz="0" w:space="0" w:color="auto"/>
      </w:divBdr>
    </w:div>
    <w:div w:id="1679766479">
      <w:bodyDiv w:val="1"/>
      <w:marLeft w:val="0"/>
      <w:marRight w:val="0"/>
      <w:marTop w:val="0"/>
      <w:marBottom w:val="0"/>
      <w:divBdr>
        <w:top w:val="none" w:sz="0" w:space="0" w:color="auto"/>
        <w:left w:val="none" w:sz="0" w:space="0" w:color="auto"/>
        <w:bottom w:val="none" w:sz="0" w:space="0" w:color="auto"/>
        <w:right w:val="none" w:sz="0" w:space="0" w:color="auto"/>
      </w:divBdr>
    </w:div>
    <w:div w:id="1915816408">
      <w:bodyDiv w:val="1"/>
      <w:marLeft w:val="0"/>
      <w:marRight w:val="0"/>
      <w:marTop w:val="0"/>
      <w:marBottom w:val="0"/>
      <w:divBdr>
        <w:top w:val="none" w:sz="0" w:space="0" w:color="auto"/>
        <w:left w:val="none" w:sz="0" w:space="0" w:color="auto"/>
        <w:bottom w:val="none" w:sz="0" w:space="0" w:color="auto"/>
        <w:right w:val="none" w:sz="0" w:space="0" w:color="auto"/>
      </w:divBdr>
    </w:div>
    <w:div w:id="1930889988">
      <w:bodyDiv w:val="1"/>
      <w:marLeft w:val="0"/>
      <w:marRight w:val="0"/>
      <w:marTop w:val="0"/>
      <w:marBottom w:val="0"/>
      <w:divBdr>
        <w:top w:val="none" w:sz="0" w:space="0" w:color="auto"/>
        <w:left w:val="none" w:sz="0" w:space="0" w:color="auto"/>
        <w:bottom w:val="none" w:sz="0" w:space="0" w:color="auto"/>
        <w:right w:val="none" w:sz="0" w:space="0" w:color="auto"/>
      </w:divBdr>
      <w:divsChild>
        <w:div w:id="389811687">
          <w:marLeft w:val="0"/>
          <w:marRight w:val="0"/>
          <w:marTop w:val="0"/>
          <w:marBottom w:val="0"/>
          <w:divBdr>
            <w:top w:val="none" w:sz="0" w:space="0" w:color="auto"/>
            <w:left w:val="none" w:sz="0" w:space="0" w:color="auto"/>
            <w:bottom w:val="none" w:sz="0" w:space="0" w:color="auto"/>
            <w:right w:val="none" w:sz="0" w:space="0" w:color="auto"/>
          </w:divBdr>
          <w:divsChild>
            <w:div w:id="1397629786">
              <w:marLeft w:val="0"/>
              <w:marRight w:val="0"/>
              <w:marTop w:val="0"/>
              <w:marBottom w:val="0"/>
              <w:divBdr>
                <w:top w:val="none" w:sz="0" w:space="0" w:color="auto"/>
                <w:left w:val="none" w:sz="0" w:space="0" w:color="auto"/>
                <w:bottom w:val="none" w:sz="0" w:space="0" w:color="auto"/>
                <w:right w:val="none" w:sz="0" w:space="0" w:color="auto"/>
              </w:divBdr>
            </w:div>
            <w:div w:id="1321153138">
              <w:marLeft w:val="0"/>
              <w:marRight w:val="0"/>
              <w:marTop w:val="0"/>
              <w:marBottom w:val="0"/>
              <w:divBdr>
                <w:top w:val="none" w:sz="0" w:space="0" w:color="auto"/>
                <w:left w:val="none" w:sz="0" w:space="0" w:color="auto"/>
                <w:bottom w:val="none" w:sz="0" w:space="0" w:color="auto"/>
                <w:right w:val="none" w:sz="0" w:space="0" w:color="auto"/>
              </w:divBdr>
            </w:div>
            <w:div w:id="1133018552">
              <w:marLeft w:val="0"/>
              <w:marRight w:val="0"/>
              <w:marTop w:val="0"/>
              <w:marBottom w:val="0"/>
              <w:divBdr>
                <w:top w:val="none" w:sz="0" w:space="0" w:color="auto"/>
                <w:left w:val="none" w:sz="0" w:space="0" w:color="auto"/>
                <w:bottom w:val="none" w:sz="0" w:space="0" w:color="auto"/>
                <w:right w:val="none" w:sz="0" w:space="0" w:color="auto"/>
              </w:divBdr>
              <w:divsChild>
                <w:div w:id="2056004128">
                  <w:marLeft w:val="0"/>
                  <w:marRight w:val="0"/>
                  <w:marTop w:val="0"/>
                  <w:marBottom w:val="0"/>
                  <w:divBdr>
                    <w:top w:val="none" w:sz="0" w:space="0" w:color="auto"/>
                    <w:left w:val="none" w:sz="0" w:space="0" w:color="auto"/>
                    <w:bottom w:val="none" w:sz="0" w:space="0" w:color="auto"/>
                    <w:right w:val="none" w:sz="0" w:space="0" w:color="auto"/>
                  </w:divBdr>
                  <w:divsChild>
                    <w:div w:id="1954357977">
                      <w:marLeft w:val="0"/>
                      <w:marRight w:val="0"/>
                      <w:marTop w:val="0"/>
                      <w:marBottom w:val="0"/>
                      <w:divBdr>
                        <w:top w:val="none" w:sz="0" w:space="0" w:color="auto"/>
                        <w:left w:val="none" w:sz="0" w:space="0" w:color="auto"/>
                        <w:bottom w:val="none" w:sz="0" w:space="0" w:color="auto"/>
                        <w:right w:val="none" w:sz="0" w:space="0" w:color="auto"/>
                      </w:divBdr>
                      <w:divsChild>
                        <w:div w:id="1928228341">
                          <w:marLeft w:val="0"/>
                          <w:marRight w:val="0"/>
                          <w:marTop w:val="0"/>
                          <w:marBottom w:val="0"/>
                          <w:divBdr>
                            <w:top w:val="none" w:sz="0" w:space="0" w:color="auto"/>
                            <w:left w:val="none" w:sz="0" w:space="0" w:color="auto"/>
                            <w:bottom w:val="none" w:sz="0" w:space="0" w:color="auto"/>
                            <w:right w:val="none" w:sz="0" w:space="0" w:color="auto"/>
                          </w:divBdr>
                          <w:divsChild>
                            <w:div w:id="1410150137">
                              <w:marLeft w:val="0"/>
                              <w:marRight w:val="0"/>
                              <w:marTop w:val="0"/>
                              <w:marBottom w:val="0"/>
                              <w:divBdr>
                                <w:top w:val="none" w:sz="0" w:space="0" w:color="auto"/>
                                <w:left w:val="none" w:sz="0" w:space="0" w:color="auto"/>
                                <w:bottom w:val="none" w:sz="0" w:space="0" w:color="auto"/>
                                <w:right w:val="none" w:sz="0" w:space="0" w:color="auto"/>
                              </w:divBdr>
                            </w:div>
                            <w:div w:id="4871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4494">
      <w:bodyDiv w:val="1"/>
      <w:marLeft w:val="0"/>
      <w:marRight w:val="0"/>
      <w:marTop w:val="0"/>
      <w:marBottom w:val="0"/>
      <w:divBdr>
        <w:top w:val="none" w:sz="0" w:space="0" w:color="auto"/>
        <w:left w:val="none" w:sz="0" w:space="0" w:color="auto"/>
        <w:bottom w:val="none" w:sz="0" w:space="0" w:color="auto"/>
        <w:right w:val="none" w:sz="0" w:space="0" w:color="auto"/>
      </w:divBdr>
    </w:div>
    <w:div w:id="21305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c.com/assetmanage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wc.com/structure" TargetMode="External"/><Relationship Id="rId4" Type="http://schemas.openxmlformats.org/officeDocument/2006/relationships/settings" Target="settings.xml"/><Relationship Id="rId9" Type="http://schemas.openxmlformats.org/officeDocument/2006/relationships/hyperlink" Target="http://www.pwc.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E81E6-380D-4BE6-B722-52004EBE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1464</Words>
  <Characters>8348</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PricewaterhouseCoopers</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J Mearley</dc:creator>
  <cp:keywords/>
  <dc:description/>
  <cp:lastModifiedBy>Blankenspoor, Joost</cp:lastModifiedBy>
  <cp:revision>6</cp:revision>
  <cp:lastPrinted>2017-05-08T04:12:00Z</cp:lastPrinted>
  <dcterms:created xsi:type="dcterms:W3CDTF">2017-10-16T07:54:00Z</dcterms:created>
  <dcterms:modified xsi:type="dcterms:W3CDTF">2017-10-17T07:52:00Z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y fmtid="{D5CDD505-2E9C-101B-9397-08002B2CF9AE}" pid="3" name="DisplayNegativeNumbersBrackets">
    <vt:lpwstr>True</vt:lpwstr>
  </property>
  <property fmtid="{D5CDD505-2E9C-101B-9397-08002B2CF9AE}" pid="4" name="EuropeanNumberFormatting">
    <vt:lpwstr>False</vt:lpwstr>
  </property>
  <property fmtid="{D5CDD505-2E9C-101B-9397-08002B2CF9AE}" pid="5" name="NoDecimals">
    <vt:lpwstr>False</vt:lpwstr>
  </property>
  <property fmtid="{D5CDD505-2E9C-101B-9397-08002B2CF9AE}" pid="6" name="CurrencySymbol">
    <vt:lpwstr>€</vt:lpwstr>
  </property>
</Properties>
</file>