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73"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UCG Canada Holdings </w:t>
      </w:r>
      <w:r w:rsidDel="00000000" w:rsidR="00000000" w:rsidRPr="00000000">
        <w:rPr>
          <w:rFonts w:ascii="Arial" w:cs="Arial" w:eastAsia="Arial" w:hAnsi="Arial"/>
          <w:b w:val="1"/>
          <w:i w:val="0"/>
          <w:smallCaps w:val="0"/>
          <w:strike w:val="0"/>
          <w:color w:val="242424"/>
          <w:sz w:val="19"/>
          <w:szCs w:val="19"/>
          <w:u w:val="none"/>
          <w:shd w:fill="auto" w:val="clear"/>
          <w:vertAlign w:val="baseline"/>
          <w:rtl w:val="0"/>
        </w:rPr>
        <w:t xml:space="preserve">faisant affaires sous la raison sociale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“Frank and Oak”</w:t>
      </w:r>
      <w:r w:rsidDel="00000000" w:rsidR="00000000" w:rsidRPr="00000000">
        <w:rPr>
          <w:rtl w:val="0"/>
        </w:rPr>
      </w:r>
    </w:p>
    <w:p w:rsidR="00000000" w:rsidDel="00000000" w:rsidP="00000000" w:rsidRDefault="00000000" w:rsidRPr="00000000" w14:paraId="00000002">
      <w:pPr>
        <w:pStyle w:val="Heading3"/>
        <w:keepNext w:val="1"/>
        <w:keepLines w:val="1"/>
        <w:shd w:fill="ffffff" w:val="clear"/>
        <w:spacing w:after="281" w:before="281" w:lineRule="auto"/>
        <w:jc w:val="cente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242424"/>
          <w:sz w:val="20"/>
          <w:szCs w:val="20"/>
          <w:rtl w:val="0"/>
        </w:rPr>
        <w:t xml:space="preserve">Foire aux Questions (FAQs)</w:t>
      </w:r>
      <w:r w:rsidDel="00000000" w:rsidR="00000000" w:rsidRPr="00000000">
        <w:rPr>
          <w:rtl w:val="0"/>
        </w:rPr>
        <w:t xml:space="preserve"> - </w:t>
      </w:r>
      <w:r w:rsidDel="00000000" w:rsidR="00000000" w:rsidRPr="00000000">
        <w:rPr>
          <w:rFonts w:ascii="Arial" w:cs="Arial" w:eastAsia="Arial" w:hAnsi="Arial"/>
          <w:b w:val="1"/>
          <w:i w:val="0"/>
          <w:smallCaps w:val="0"/>
          <w:color w:val="000000"/>
          <w:sz w:val="20"/>
          <w:szCs w:val="20"/>
          <w:rtl w:val="0"/>
        </w:rPr>
        <w:t xml:space="preserve">Créanciers/Fournisseurs </w:t>
      </w:r>
      <w:r w:rsidDel="00000000" w:rsidR="00000000" w:rsidRPr="00000000">
        <w:rPr>
          <w:rtl w:val="0"/>
        </w:rPr>
      </w:r>
    </w:p>
    <w:p w:rsidR="00000000" w:rsidDel="00000000" w:rsidP="00000000" w:rsidRDefault="00000000" w:rsidRPr="00000000" w14:paraId="00000003">
      <w:pPr>
        <w:rPr>
          <w:rFonts w:ascii="Arial" w:cs="Arial" w:eastAsia="Arial" w:hAnsi="Arial"/>
          <w:b w:val="1"/>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GENERAL</w:t>
      </w:r>
    </w:p>
    <w:p w:rsidR="00000000" w:rsidDel="00000000" w:rsidP="00000000" w:rsidRDefault="00000000" w:rsidRPr="00000000" w14:paraId="00000004">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1. Qu'est-ce qu'un Avis d'intention de faire une proposition et/ou une proposition ?</w:t>
      </w:r>
      <w:r w:rsidDel="00000000" w:rsidR="00000000" w:rsidRPr="00000000">
        <w:rPr>
          <w:rtl w:val="0"/>
        </w:rPr>
      </w:r>
    </w:p>
    <w:p w:rsidR="00000000" w:rsidDel="00000000" w:rsidP="00000000" w:rsidRDefault="00000000" w:rsidRPr="00000000" w14:paraId="00000005">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Un Avis d'intention de faire une proposition (communément appelé "AI") est une procédure en vertu de la Loi sur la faillite et l'insolvabilité (LFI) qui permet aux entreprises en difficulté financière de restructurer leurs affaires. Il s'agit souvent de la première étape d'un processus de restructuration en vertu de la LFI, qui permet à une entreprise de restructurer ses affaires financières par le biais d'une proposition formelle.</w:t>
      </w:r>
    </w:p>
    <w:p w:rsidR="00000000" w:rsidDel="00000000" w:rsidP="00000000" w:rsidRDefault="00000000" w:rsidRPr="00000000" w14:paraId="00000006">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2. Un AI/proposition est-il une faillite ?</w:t>
      </w:r>
      <w:r w:rsidDel="00000000" w:rsidR="00000000" w:rsidRPr="00000000">
        <w:rPr>
          <w:rtl w:val="0"/>
        </w:rPr>
      </w:r>
    </w:p>
    <w:p w:rsidR="00000000" w:rsidDel="00000000" w:rsidP="00000000" w:rsidRDefault="00000000" w:rsidRPr="00000000" w14:paraId="00000007">
      <w:pPr>
        <w:rPr>
          <w:rFonts w:ascii="Arial" w:cs="Arial" w:eastAsia="Arial" w:hAnsi="Arial"/>
          <w:b w:val="0"/>
          <w:i w:val="0"/>
          <w:smallCaps w:val="0"/>
          <w:color w:val="000000"/>
          <w:sz w:val="20"/>
          <w:szCs w:val="20"/>
        </w:rPr>
      </w:pPr>
      <w:bookmarkStart w:colFirst="0" w:colLast="0" w:name="_heading=h.gjdgxs" w:id="0"/>
      <w:bookmarkEnd w:id="0"/>
      <w:r w:rsidDel="00000000" w:rsidR="00000000" w:rsidRPr="00000000">
        <w:rPr>
          <w:rFonts w:ascii="Arial" w:cs="Arial" w:eastAsia="Arial" w:hAnsi="Arial"/>
          <w:b w:val="0"/>
          <w:i w:val="0"/>
          <w:smallCaps w:val="0"/>
          <w:color w:val="000000"/>
          <w:sz w:val="20"/>
          <w:szCs w:val="20"/>
          <w:rtl w:val="0"/>
        </w:rPr>
        <w:t xml:space="preserve">Non. L’AI offre à une entreprise (également appelée "débitrice") la possibilité d'éviter la faillite et permet aux créanciers de recevoir une forme de compensation pour les montants qui leur sont dus par l'entreprise.</w:t>
      </w:r>
    </w:p>
    <w:p w:rsidR="00000000" w:rsidDel="00000000" w:rsidP="00000000" w:rsidRDefault="00000000" w:rsidRPr="00000000" w14:paraId="00000008">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3. Quel est le processus d'un AI ?</w:t>
      </w:r>
      <w:r w:rsidDel="00000000" w:rsidR="00000000" w:rsidRPr="00000000">
        <w:rPr>
          <w:rtl w:val="0"/>
        </w:rPr>
      </w:r>
    </w:p>
    <w:p w:rsidR="00000000" w:rsidDel="00000000" w:rsidP="00000000" w:rsidRDefault="00000000" w:rsidRPr="00000000" w14:paraId="00000009">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Le processus commence par le dépôt par une entreprise d'un AI auprès du séquestre officiel (un représentant du Bureau du surintendant des faillites) et des tribunaux. Une fois accepté, l'entreprise bénéficie d'une protection initiale de 30 jours (souvent qualifiée de « suspension des procédures ») contre ses créanciers pour permettre à l'entreprise de préparer sa proposition. La suspension des procédures contre les créanciers peut être prolongée sur requêtes supplémentaires par la société au tribunal.</w:t>
      </w:r>
    </w:p>
    <w:p w:rsidR="00000000" w:rsidDel="00000000" w:rsidP="00000000" w:rsidRDefault="00000000" w:rsidRPr="00000000" w14:paraId="0000000A">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4. Combien de temps dure un AI ?</w:t>
      </w:r>
      <w:r w:rsidDel="00000000" w:rsidR="00000000" w:rsidRPr="00000000">
        <w:rPr>
          <w:rtl w:val="0"/>
        </w:rPr>
      </w:r>
    </w:p>
    <w:p w:rsidR="00000000" w:rsidDel="00000000" w:rsidP="00000000" w:rsidRDefault="00000000" w:rsidRPr="00000000" w14:paraId="0000000B">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En général, le tribunal continue la protection au-delà de la période initiale de 30 jours si l'entreprise peut démontrer qu'il est probable qu'elle déposera une proposition et qu'une prolongation de la suspension des procédures ne porte pas préjudice aux créanciers dans leur ensemble. La suspension des procédures peut être prolongé pour une période ne dépassant pas six mois à partir de la date de dépôt de l’AI. Pendant la période de la suspension des procédures, l'entreprise continue souvent d’opérer, bien qu'elle puisse commencer des activités de restructuration à tout moment. Si une entreprise ne dépose pas de proposition à la fin de la période de suspension des procédures, elle est réputée avoir fait une cession de faillite et un syndic autorisé en insolvabilité est nommé pour administrer la faillite.</w:t>
      </w:r>
    </w:p>
    <w:p w:rsidR="00000000" w:rsidDel="00000000" w:rsidP="00000000" w:rsidRDefault="00000000" w:rsidRPr="00000000" w14:paraId="0000000C">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5. Quel est le rôle d'un syndic à la proposition ?</w:t>
      </w:r>
      <w:r w:rsidDel="00000000" w:rsidR="00000000" w:rsidRPr="00000000">
        <w:rPr>
          <w:rtl w:val="0"/>
        </w:rPr>
      </w:r>
    </w:p>
    <w:p w:rsidR="00000000" w:rsidDel="00000000" w:rsidP="00000000" w:rsidRDefault="00000000" w:rsidRPr="00000000" w14:paraId="0000000D">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Un syndic à la proposition est un tiers indépendant qui est nommé par le séquestre officiel pour aider l'entreprise ayant déposé son AI et/ou de la proposition et pour surveiller les opérations en cours de la société pendant la période de suspension des procédures. Les devoirs du syndic à la Proposition comprennent notamment la surveillance continue des activités financières de l'entreprise, la préparation des rapports à la Cour sur les événements majeurs qui pourraient avoir une incidence sur la viabilité de l'entreprise, l’assistance à la société dans l'élaboration de sa proposition, l’obligation d’informer les créanciers de toutes les assemblées des créanciers et la compilation des votes lors de ces assemblées. Le syndic à la proposition préparera également un rapport sur la proposition qui est inclus dans l'envoi de la proposition aux créanciers.</w:t>
      </w:r>
    </w:p>
    <w:p w:rsidR="00000000" w:rsidDel="00000000" w:rsidP="00000000" w:rsidRDefault="00000000" w:rsidRPr="00000000" w14:paraId="0000000E">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6. Que contient une proposition ?</w:t>
      </w:r>
      <w:r w:rsidDel="00000000" w:rsidR="00000000" w:rsidRPr="00000000">
        <w:rPr>
          <w:rtl w:val="0"/>
        </w:rPr>
      </w:r>
    </w:p>
    <w:p w:rsidR="00000000" w:rsidDel="00000000" w:rsidP="00000000" w:rsidRDefault="00000000" w:rsidRPr="00000000" w14:paraId="0000000F">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La proposition est un accord formel que la société présente à ses créanciers indiquant comment elle entend faire des compromis et/ou rembourser les dettes contractées au moment du dépôt initial de l’AI/Proposition. Il n'y a pas de restrictions sur ce que la proposition peut comprendre. Il n'est pas rare de voir une compagnie offrir de verser un pourcentage de la dette due avant le dépôt de la proposition, soit sous la forme d’un paiement forfaitaire ou de paiements sur une certaine période de temps. Les propositions peuvent inclure une offre d'actions de la société en échange du montant de la dette ou une combinaison d’argent et d'actions.</w:t>
      </w:r>
    </w:p>
    <w:p w:rsidR="00000000" w:rsidDel="00000000" w:rsidP="00000000" w:rsidRDefault="00000000" w:rsidRPr="00000000" w14:paraId="00000010">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7. Comment les créanciers participent-ils au processus de proposition ?</w:t>
      </w:r>
      <w:r w:rsidDel="00000000" w:rsidR="00000000" w:rsidRPr="00000000">
        <w:rPr>
          <w:rtl w:val="0"/>
        </w:rPr>
      </w:r>
    </w:p>
    <w:p w:rsidR="00000000" w:rsidDel="00000000" w:rsidP="00000000" w:rsidRDefault="00000000" w:rsidRPr="00000000" w14:paraId="00000011">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Afin d’être en mesure de voter sur la proposition et de recevoir toute distribution y étant afférente, un créancier doit déposer une preuve de réclamation auprès du syndic à la proposition. La preuve de réclamation indique ce qui est dû au créancier et est examiné par le syndic à la proposition et la société. Toute divergence entre la preuve de réclamation du créancier et les dossiers de l'entreprise est analysée par la société. Les créances contestées sont résolues conformément au cadre énoncé dans la LFI. Une assemblée des créanciers est convoquée pour voter sur la proposition. Pour que la proposition lie chaque catégorie de créanciers, une majorité en nombre des créanciers ayant prouvés leur réclamation, et représentant 2 / 3 en valeur des créances ayant été prouvées, dans chaque catégorie, doivent voter pour approuver/accepter la proposition. Si une catégorie de créanciers approuve ou accepte la proposition, cela lie tous les créanciers de cette catégorie, sous réserve de l'approbation de la Cour. Jusqu’à l'approbation du tribunal, la société continue ses activités comme il est indiqué dans la proposition jusqu'à ce qu'elle ait satisfait aux exigences en vertu de la proposition.</w:t>
      </w:r>
    </w:p>
    <w:p w:rsidR="00000000" w:rsidDel="00000000" w:rsidP="00000000" w:rsidRDefault="00000000" w:rsidRPr="00000000" w14:paraId="00000012">
      <w:pPr>
        <w:rPr>
          <w:rFonts w:ascii="Arial" w:cs="Arial" w:eastAsia="Arial" w:hAnsi="Arial"/>
          <w:b w:val="0"/>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8. Que se passe-t-il si la proposition est rejetée ou non approuvée par le tribunal ?</w:t>
      </w:r>
      <w:r w:rsidDel="00000000" w:rsidR="00000000" w:rsidRPr="00000000">
        <w:rPr>
          <w:rtl w:val="0"/>
        </w:rPr>
      </w:r>
    </w:p>
    <w:p w:rsidR="00000000" w:rsidDel="00000000" w:rsidP="00000000" w:rsidRDefault="00000000" w:rsidRPr="00000000" w14:paraId="00000013">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Si une catégorie de créanciers rejette la proposition ou que le tribunal n'approuve pas la proposition, la société est réputée avoir fait une cession de faillite et est automatiquement faillie. </w:t>
      </w:r>
    </w:p>
    <w:p w:rsidR="00000000" w:rsidDel="00000000" w:rsidP="00000000" w:rsidRDefault="00000000" w:rsidRPr="00000000" w14:paraId="00000014">
      <w:pPr>
        <w:rPr>
          <w:rFonts w:ascii="Arial" w:cs="Arial" w:eastAsia="Arial" w:hAnsi="Arial"/>
          <w:b w:val="0"/>
          <w:i w:val="0"/>
          <w:smallCaps w:val="0"/>
          <w:color w:val="000000"/>
          <w:sz w:val="20"/>
          <w:szCs w:val="20"/>
        </w:rPr>
      </w:pPr>
      <w:r w:rsidDel="00000000" w:rsidR="00000000" w:rsidRPr="00000000">
        <w:rPr>
          <w:rFonts w:ascii="Arial" w:cs="Arial" w:eastAsia="Arial" w:hAnsi="Arial"/>
          <w:b w:val="0"/>
          <w:i w:val="0"/>
          <w:smallCaps w:val="0"/>
          <w:color w:val="000000"/>
          <w:sz w:val="20"/>
          <w:szCs w:val="20"/>
          <w:rtl w:val="0"/>
        </w:rPr>
        <w:t xml:space="preserve">SPÉCIFQUE</w:t>
      </w:r>
    </w:p>
    <w:p w:rsidR="00000000" w:rsidDel="00000000" w:rsidP="00000000" w:rsidRDefault="00000000" w:rsidRPr="00000000" w14:paraId="0000001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Comment un AI affecte-t-il les fournisseurs ?</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Lorsqu'une entreprise dépose un AI, elle bénéficie d'une suspension des procédures, ce qui signifie que les créanciers, y compris les fournisseurs, ne peuvent pas engager de poursuites pour recouvrer les dettes. Cette suspension donne à l'entreprise le temps de préparer une proposition de restructuration de ses dettes.</w:t>
      </w:r>
    </w:p>
    <w:p w:rsidR="00000000" w:rsidDel="00000000" w:rsidP="00000000" w:rsidRDefault="00000000" w:rsidRPr="00000000" w14:paraId="000000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 Serai-je payé pour les biens ou services fournis avant le dépôt de l'AI ?</w:t>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Les paiements pour les biens ou services fournis avant le dépôt de l'AI sont généralement inclus dans la proposition. La proposition détaillera la manière dont ces dettes seront traitées, ce qui peut inclure des paiements partiels, des délais de paiement prolongés ou d'autres arrangements.</w:t>
      </w:r>
    </w:p>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 Puis-je continuer à fournir des biens ou des services à l'entreprise après le dépôt de l'AI ?</w:t>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Oui, vous pouvez continuer à fournir des biens ou des services à l'entreprise après le dépôt de l'AI.</w:t>
      </w:r>
    </w:p>
    <w:p w:rsidR="00000000" w:rsidDel="00000000" w:rsidP="00000000" w:rsidRDefault="00000000" w:rsidRPr="00000000" w14:paraId="0000001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 Puis-je contester le montant qui m'est dû dans la proposition ?</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Oui, si vous n'êtes pas d'accord avec le montant indiqué dans la proposition, vous pouvez déposer une preuve de réclamation auprès du syndic à la proposition. Le syndic examinera votre réclamation et résoudra toute divergence conformément à la LFI.</w:t>
      </w:r>
    </w:p>
    <w:p w:rsidR="00000000" w:rsidDel="00000000" w:rsidP="00000000" w:rsidRDefault="00000000" w:rsidRPr="00000000" w14:paraId="0000001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 Où puis-je trouver des informations supplémentaires sur les procédures d'AI ?</w:t>
      </w:r>
    </w:p>
    <w:p w:rsidR="00000000" w:rsidDel="00000000" w:rsidP="00000000" w:rsidRDefault="00000000" w:rsidRPr="00000000" w14:paraId="0000001E">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 informations supplémentaires concernant la procédure de notification de UCG Canada Holdings Inc. seront disponibles sur le site Internet du fiduciaire : </w:t>
      </w:r>
      <w:hyperlink r:id="rId7">
        <w:r w:rsidDel="00000000" w:rsidR="00000000" w:rsidRPr="00000000">
          <w:rPr>
            <w:rFonts w:ascii="Arial" w:cs="Arial" w:eastAsia="Arial" w:hAnsi="Arial"/>
            <w:color w:val="1155cc"/>
            <w:sz w:val="20"/>
            <w:szCs w:val="20"/>
            <w:u w:val="single"/>
            <w:rtl w:val="0"/>
          </w:rPr>
          <w:t xml:space="preserve">http://www.pwc.com/ca/en/ucgcanadaholdings</w:t>
        </w:r>
      </w:hyperlink>
      <w:r w:rsidDel="00000000" w:rsidR="00000000" w:rsidRPr="00000000">
        <w:rPr>
          <w:rFonts w:ascii="Arial" w:cs="Arial" w:eastAsia="Arial" w:hAnsi="Arial"/>
          <w:sz w:val="20"/>
          <w:szCs w:val="20"/>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FR"/>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Policepardfaut1" w:customStyle="1">
    <w:name w:val="Police par défaut1"/>
    <w:basedOn w:val="Normal"/>
    <w:uiPriority w:val="1"/>
    <w:rsid w:val="223721DC"/>
    <w:rPr>
      <w:rFonts w:ascii="Times New Roman" w:cs="Times New Roman" w:eastAsia="PMingLiU" w:hAnsi="Times New Roman"/>
      <w:sz w:val="22"/>
      <w:szCs w:val="22"/>
    </w:rPr>
  </w:style>
  <w:style w:type="paragraph" w:styleId="DefaultParagraphFont1" w:customStyle="1">
    <w:name w:val="Default Paragraph Font1"/>
    <w:basedOn w:val="Normal"/>
    <w:uiPriority w:val="1"/>
    <w:rsid w:val="76659CAD"/>
    <w:rPr>
      <w:rFonts w:ascii="Aptos" w:cs="" w:eastAsia="" w:hAnsi="Aptos" w:asciiTheme="minorAscii" w:cstheme="minorBidi" w:eastAsiaTheme="minorEastAsia" w:hAnsiTheme="minorAscii"/>
      <w:sz w:val="22"/>
      <w:szCs w:val="22"/>
    </w:rPr>
  </w:style>
  <w:style w:type="character" w:styleId="Hyperlink">
    <w:name w:val="Hyperlink"/>
    <w:basedOn w:val="DefaultParagraphFont"/>
    <w:uiPriority w:val="99"/>
    <w:unhideWhenUsed w:val="1"/>
    <w:rsid w:val="76659CAD"/>
    <w:rPr>
      <w:color w:val="467886"/>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www.pwc.com/ca/en/ucgcanadaholdings"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pPUSJjNTohs4S5/txOZr0N1pA==">CgMxLjAyCGguZ2pkZ3hzOAByITE2elN3SE1qbGstRWgxT1BkVzdFcEcwOXFJNTcyS0I1dg==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D74C43380EC44A8E67C340009B6DE" ma:contentTypeVersion="13" ma:contentTypeDescription="Crée un document." ma:contentTypeScope="" ma:versionID="96c86779eec31fd87767bbe8d0674fe4">
  <xsd:schema xmlns:xsd="http://www.w3.org/2001/XMLSchema" xmlns:xs="http://www.w3.org/2001/XMLSchema" xmlns:p="http://schemas.microsoft.com/office/2006/metadata/properties" xmlns:ns2="7ff97041-1a24-4639-876a-3582b112a7a3" xmlns:ns3="90f5ec8f-884c-41a2-8022-4b232a0d9cae" targetNamespace="http://schemas.microsoft.com/office/2006/metadata/properties" ma:root="true" ma:fieldsID="10473d3dea47a8c21e06c8a3dd963ce1" ns2:_="" ns3:_="">
    <xsd:import namespace="7ff97041-1a24-4639-876a-3582b112a7a3"/>
    <xsd:import namespace="90f5ec8f-884c-41a2-8022-4b232a0d9cae"/>
    <xsd:element name="properties">
      <xsd:complexType>
        <xsd:sequence>
          <xsd:element name="documentManagement">
            <xsd:complexType>
              <xsd:all>
                <xsd:element ref="ns2:Links" minOccurs="0"/>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97041-1a24-4639-876a-3582b112a7a3" elementFormDefault="qualified">
    <xsd:import namespace="http://schemas.microsoft.com/office/2006/documentManagement/types"/>
    <xsd:import namespace="http://schemas.microsoft.com/office/infopath/2007/PartnerControls"/>
    <xsd:element name="Links" ma:index="8" nillable="true" ma:displayName="Links" ma:list="{5711ee52-93ce-40fa-ac73-5faa36fbc2b1}" ma:internalName="Links" ma:readOnly="true" ma:showField="From_x0020_Document">
      <xsd:simpleType>
        <xsd:restriction base="dms:Lookup"/>
      </xsd:simpleType>
    </xsd:element>
    <xsd:element name="_Flow_SignoffStatus" ma:index="9" nillable="true" ma:displayName="Sign Off" ma:internalName="SignOff">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5ec8f-884c-41a2-8022-4b232a0d9ca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8005c2-521a-4998-9781-24086ce09218}" ma:internalName="TaxCatchAll" ma:showField="CatchAllData" ma:web="90f5ec8f-884c-41a2-8022-4b232a0d9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ff97041-1a24-4639-876a-3582b112a7a3" xsi:nil="true"/>
    <TaxCatchAll xmlns="90f5ec8f-884c-41a2-8022-4b232a0d9cae" xsi:nil="true"/>
    <lcf76f155ced4ddcb4097134ff3c332f xmlns="7ff97041-1a24-4639-876a-3582b112a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A205952-7FAC-43C9-84C4-CAB46750F976}"/>
</file>

<file path=customXML/itemProps3.xml><?xml version="1.0" encoding="utf-8"?>
<ds:datastoreItem xmlns:ds="http://schemas.openxmlformats.org/officeDocument/2006/customXml" ds:itemID="{30402C57-46C8-4538-BC56-C21B6461A557}"/>
</file>

<file path=customXML/itemProps4.xml><?xml version="1.0" encoding="utf-8"?>
<ds:datastoreItem xmlns:ds="http://schemas.openxmlformats.org/officeDocument/2006/customXml" ds:itemID="{36B99598-55AB-4720-AE36-277DD93C8F8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Lamorte (CA)</dc:creator>
  <dcterms:created xsi:type="dcterms:W3CDTF">2024-12-11T15:28:33Z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0x010100369D74C43380EC44A8E67C340009B6DE</vt:lpwstr>
  </property>
  <property fmtid="{D5CDD505-2E9C-101B-9397-08002B2CF9AE}" pid="3" name="MediaServiceImageTags">
    <vt:lpwstr/>
  </property>
</Properties>
</file>