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3E9B6" w14:textId="7888E7A1" w:rsidR="00002E03" w:rsidRPr="00BB6E71" w:rsidRDefault="005529F5">
      <w:pPr>
        <w:rPr>
          <w:rFonts w:ascii="Georgia" w:eastAsia="Georgia" w:hAnsi="Georgia" w:cs="Georgia"/>
          <w:lang w:val="fr-CA"/>
        </w:rPr>
      </w:pPr>
      <w:bookmarkStart w:id="0" w:name="lt_pId000"/>
      <w:r w:rsidRPr="00BB6E71">
        <w:rPr>
          <w:rFonts w:ascii="Georgia" w:eastAsia="Georgia" w:hAnsi="Georgia" w:cs="Georgia"/>
          <w:lang w:val="fr-CA"/>
        </w:rPr>
        <w:t>Le 10</w:t>
      </w:r>
      <w:r w:rsidR="004D6D8B">
        <w:rPr>
          <w:rFonts w:ascii="Georgia" w:eastAsia="Georgia" w:hAnsi="Georgia" w:cs="Georgia"/>
          <w:lang w:val="fr-CA"/>
        </w:rPr>
        <w:t> </w:t>
      </w:r>
      <w:r w:rsidRPr="00BB6E71">
        <w:rPr>
          <w:rFonts w:ascii="Georgia" w:eastAsia="Georgia" w:hAnsi="Georgia" w:cs="Georgia"/>
          <w:lang w:val="fr-CA"/>
        </w:rPr>
        <w:t>avril 2023</w:t>
      </w:r>
      <w:bookmarkEnd w:id="0"/>
    </w:p>
    <w:p w14:paraId="2509B2E7" w14:textId="77777777" w:rsidR="00002E03" w:rsidRPr="00BB6E71" w:rsidRDefault="00002E03">
      <w:pPr>
        <w:rPr>
          <w:rFonts w:ascii="Georgia" w:eastAsia="Georgia" w:hAnsi="Georgia" w:cs="Georgia"/>
          <w:b/>
          <w:lang w:val="fr-CA"/>
        </w:rPr>
      </w:pPr>
    </w:p>
    <w:p w14:paraId="0020FBD9" w14:textId="683F76ED" w:rsidR="00002E03" w:rsidRPr="00BB6E71" w:rsidRDefault="005A4277">
      <w:pPr>
        <w:rPr>
          <w:rFonts w:ascii="Georgia" w:eastAsia="Georgia" w:hAnsi="Georgia" w:cs="Georgia"/>
          <w:b/>
          <w:lang w:val="fr-CA"/>
        </w:rPr>
      </w:pPr>
      <w:bookmarkStart w:id="1" w:name="lt_pId001"/>
      <w:r w:rsidRPr="00AD5E40">
        <w:rPr>
          <w:rFonts w:ascii="Georgia" w:eastAsia="Georgia" w:hAnsi="Georgia" w:cs="Georgia"/>
          <w:b/>
          <w:lang w:val="fr-CA"/>
        </w:rPr>
        <w:t xml:space="preserve">À l’attention des porteurs de parts de </w:t>
      </w:r>
      <w:r w:rsidR="0027712D" w:rsidRPr="00AD5E40">
        <w:rPr>
          <w:rFonts w:ascii="Georgia" w:eastAsia="Georgia" w:hAnsi="Georgia" w:cs="Georgia"/>
          <w:b/>
          <w:lang w:val="fr-CA"/>
        </w:rPr>
        <w:t>f</w:t>
      </w:r>
      <w:r w:rsidRPr="00AD5E40">
        <w:rPr>
          <w:rFonts w:ascii="Georgia" w:eastAsia="Georgia" w:hAnsi="Georgia" w:cs="Georgia"/>
          <w:b/>
          <w:lang w:val="fr-CA"/>
        </w:rPr>
        <w:t>onds Bridging</w:t>
      </w:r>
      <w:bookmarkEnd w:id="1"/>
      <w:r w:rsidRPr="0034677B">
        <w:rPr>
          <w:rFonts w:ascii="Georgia" w:eastAsia="Georgia" w:hAnsi="Georgia" w:cs="Georgia"/>
          <w:b/>
          <w:vertAlign w:val="superscript"/>
          <w:lang w:val="fr-CA"/>
        </w:rPr>
        <w:footnoteReference w:id="1"/>
      </w:r>
    </w:p>
    <w:p w14:paraId="0C6A6297" w14:textId="77777777" w:rsidR="00002E03" w:rsidRPr="00BB6E71" w:rsidRDefault="00002E03">
      <w:pPr>
        <w:rPr>
          <w:rFonts w:ascii="Georgia" w:eastAsia="Georgia" w:hAnsi="Georgia" w:cs="Georgia"/>
          <w:b/>
          <w:lang w:val="fr-CA"/>
        </w:rPr>
      </w:pPr>
    </w:p>
    <w:p w14:paraId="6854FB85" w14:textId="0E2D9193" w:rsidR="00002E03" w:rsidRPr="00BB6E71" w:rsidRDefault="00E25765">
      <w:pPr>
        <w:rPr>
          <w:rFonts w:ascii="Georgia" w:eastAsia="Georgia" w:hAnsi="Georgia" w:cs="Georgia"/>
          <w:b/>
          <w:lang w:val="fr-CA"/>
        </w:rPr>
      </w:pPr>
      <w:bookmarkStart w:id="3" w:name="lt_pId002"/>
      <w:r w:rsidRPr="00BB6E71">
        <w:rPr>
          <w:rFonts w:ascii="Georgia" w:eastAsia="Georgia" w:hAnsi="Georgia" w:cs="Georgia"/>
          <w:b/>
          <w:lang w:val="fr-CA"/>
        </w:rPr>
        <w:t>Objet</w:t>
      </w:r>
      <w:r w:rsidR="004D6D8B">
        <w:rPr>
          <w:rFonts w:ascii="Georgia" w:eastAsia="Georgia" w:hAnsi="Georgia" w:cs="Georgia"/>
          <w:b/>
          <w:lang w:val="fr-CA"/>
        </w:rPr>
        <w:t> </w:t>
      </w:r>
      <w:r w:rsidRPr="00BB6E71">
        <w:rPr>
          <w:rFonts w:ascii="Georgia" w:eastAsia="Georgia" w:hAnsi="Georgia" w:cs="Georgia"/>
          <w:b/>
          <w:lang w:val="fr-CA"/>
        </w:rPr>
        <w:t xml:space="preserve">: Questions fréquentes </w:t>
      </w:r>
      <w:r w:rsidR="006A71A8" w:rsidRPr="00BB6E71">
        <w:rPr>
          <w:rFonts w:ascii="Georgia" w:eastAsia="Georgia" w:hAnsi="Georgia" w:cs="Georgia"/>
          <w:b/>
          <w:lang w:val="fr-CA"/>
        </w:rPr>
        <w:t>relatives aux</w:t>
      </w:r>
      <w:r w:rsidRPr="00BB6E71">
        <w:rPr>
          <w:rFonts w:ascii="Georgia" w:eastAsia="Georgia" w:hAnsi="Georgia" w:cs="Georgia"/>
          <w:b/>
          <w:lang w:val="fr-CA"/>
        </w:rPr>
        <w:t xml:space="preserve"> impôts</w:t>
      </w:r>
      <w:bookmarkEnd w:id="3"/>
    </w:p>
    <w:p w14:paraId="1F41FC2B" w14:textId="77777777" w:rsidR="00002E03" w:rsidRPr="00BB6E71" w:rsidRDefault="00002E03">
      <w:pPr>
        <w:rPr>
          <w:rFonts w:ascii="Georgia" w:eastAsia="Georgia" w:hAnsi="Georgia" w:cs="Georgia"/>
          <w:b/>
          <w:lang w:val="fr-CA"/>
        </w:rPr>
      </w:pPr>
    </w:p>
    <w:p w14:paraId="4173C687" w14:textId="5ECB38A9" w:rsidR="00002E03" w:rsidRPr="00BB6E71" w:rsidRDefault="0087751E">
      <w:pPr>
        <w:numPr>
          <w:ilvl w:val="0"/>
          <w:numId w:val="1"/>
        </w:numPr>
        <w:rPr>
          <w:rFonts w:ascii="Georgia" w:eastAsia="Georgia" w:hAnsi="Georgia" w:cs="Georgia"/>
          <w:b/>
          <w:lang w:val="fr-CA"/>
        </w:rPr>
      </w:pPr>
      <w:bookmarkStart w:id="4" w:name="lt_pId003"/>
      <w:r w:rsidRPr="00BB6E71">
        <w:rPr>
          <w:rFonts w:ascii="Georgia" w:eastAsia="Georgia" w:hAnsi="Georgia" w:cs="Georgia"/>
          <w:b/>
          <w:lang w:val="fr-CA"/>
        </w:rPr>
        <w:t xml:space="preserve">Quelles sont les étapes à suivre pour remplir ma déclaration </w:t>
      </w:r>
      <w:r w:rsidR="006A71A8" w:rsidRPr="00BB6E71">
        <w:rPr>
          <w:rFonts w:ascii="Georgia" w:eastAsia="Georgia" w:hAnsi="Georgia" w:cs="Georgia"/>
          <w:b/>
          <w:lang w:val="fr-CA"/>
        </w:rPr>
        <w:t>de revenus</w:t>
      </w:r>
      <w:r w:rsidRPr="00BB6E71">
        <w:rPr>
          <w:rFonts w:ascii="Georgia" w:eastAsia="Georgia" w:hAnsi="Georgia" w:cs="Georgia"/>
          <w:b/>
          <w:lang w:val="fr-CA"/>
        </w:rPr>
        <w:t>?</w:t>
      </w:r>
      <w:bookmarkEnd w:id="4"/>
    </w:p>
    <w:p w14:paraId="1193F8C5" w14:textId="77777777" w:rsidR="00002E03" w:rsidRPr="00BB6E71" w:rsidRDefault="00002E03">
      <w:pPr>
        <w:rPr>
          <w:rFonts w:ascii="Georgia" w:eastAsia="Georgia" w:hAnsi="Georgia" w:cs="Georgia"/>
          <w:b/>
          <w:lang w:val="fr-CA"/>
        </w:rPr>
      </w:pPr>
    </w:p>
    <w:p w14:paraId="74BB5B3B" w14:textId="4B3D74E4" w:rsidR="00002E03" w:rsidRPr="00BB6E71" w:rsidRDefault="006D0F57">
      <w:pPr>
        <w:shd w:val="clear" w:color="auto" w:fill="FFFFFF"/>
        <w:ind w:left="720"/>
        <w:rPr>
          <w:rFonts w:ascii="Georgia" w:eastAsia="Georgia" w:hAnsi="Georgia" w:cs="Georgia"/>
          <w:lang w:val="fr-CA"/>
        </w:rPr>
      </w:pPr>
      <w:bookmarkStart w:id="5" w:name="lt_pId004"/>
      <w:r w:rsidRPr="00BB6E71">
        <w:rPr>
          <w:rFonts w:ascii="Georgia" w:eastAsia="Georgia" w:hAnsi="Georgia" w:cs="Georgia"/>
          <w:lang w:val="fr-CA"/>
        </w:rPr>
        <w:t>Veuille</w:t>
      </w:r>
      <w:r w:rsidR="00723C92" w:rsidRPr="00BB6E71">
        <w:rPr>
          <w:rFonts w:ascii="Georgia" w:eastAsia="Georgia" w:hAnsi="Georgia" w:cs="Georgia"/>
          <w:lang w:val="fr-CA"/>
        </w:rPr>
        <w:t>z</w:t>
      </w:r>
      <w:r w:rsidRPr="00BB6E71">
        <w:rPr>
          <w:rFonts w:ascii="Georgia" w:eastAsia="Georgia" w:hAnsi="Georgia" w:cs="Georgia"/>
          <w:lang w:val="fr-CA"/>
        </w:rPr>
        <w:t xml:space="preserve"> suivre le lien ci-dessous, qui mène </w:t>
      </w:r>
      <w:r w:rsidR="008B638D">
        <w:rPr>
          <w:rFonts w:ascii="Georgia" w:eastAsia="Georgia" w:hAnsi="Georgia" w:cs="Georgia"/>
          <w:lang w:val="fr-CA"/>
        </w:rPr>
        <w:t>aux</w:t>
      </w:r>
      <w:r w:rsidRPr="00BB6E71">
        <w:rPr>
          <w:rFonts w:ascii="Georgia" w:eastAsia="Georgia" w:hAnsi="Georgia" w:cs="Georgia"/>
          <w:lang w:val="fr-CA"/>
        </w:rPr>
        <w:t xml:space="preserve"> directives de l’Agence du revenu du Canada (ARC) pour les personnes ayant reçu un </w:t>
      </w:r>
      <w:r w:rsidR="00AC3F39" w:rsidRPr="00BB6E71">
        <w:rPr>
          <w:rFonts w:ascii="Georgia" w:eastAsia="Georgia" w:hAnsi="Georgia" w:cs="Georgia"/>
          <w:lang w:val="fr-CA"/>
        </w:rPr>
        <w:t>feuillet</w:t>
      </w:r>
      <w:r w:rsidR="004D6D8B">
        <w:rPr>
          <w:rFonts w:ascii="Georgia" w:eastAsia="Georgia" w:hAnsi="Georgia" w:cs="Georgia"/>
          <w:lang w:val="fr-CA"/>
        </w:rPr>
        <w:t> </w:t>
      </w:r>
      <w:r w:rsidRPr="00BB6E71">
        <w:rPr>
          <w:rFonts w:ascii="Georgia" w:eastAsia="Georgia" w:hAnsi="Georgia" w:cs="Georgia"/>
          <w:lang w:val="fr-CA"/>
        </w:rPr>
        <w:t>T5013 (</w:t>
      </w:r>
      <w:r w:rsidR="006A71A8" w:rsidRPr="00BB6E71">
        <w:rPr>
          <w:rFonts w:ascii="Georgia" w:eastAsia="Georgia" w:hAnsi="Georgia" w:cs="Georgia"/>
          <w:lang w:val="fr-CA"/>
        </w:rPr>
        <w:t>relatif</w:t>
      </w:r>
      <w:r w:rsidRPr="00BB6E71">
        <w:rPr>
          <w:rFonts w:ascii="Georgia" w:eastAsia="Georgia" w:hAnsi="Georgia" w:cs="Georgia"/>
          <w:lang w:val="fr-CA"/>
        </w:rPr>
        <w:t xml:space="preserve"> aux </w:t>
      </w:r>
      <w:r w:rsidR="00F87226">
        <w:rPr>
          <w:rFonts w:ascii="Georgia" w:eastAsia="Georgia" w:hAnsi="Georgia" w:cs="Georgia"/>
          <w:lang w:val="fr-CA"/>
        </w:rPr>
        <w:t>revenus</w:t>
      </w:r>
      <w:r w:rsidRPr="00BB6E71">
        <w:rPr>
          <w:rFonts w:ascii="Georgia" w:eastAsia="Georgia" w:hAnsi="Georgia" w:cs="Georgia"/>
          <w:lang w:val="fr-CA"/>
        </w:rPr>
        <w:t xml:space="preserve"> de société </w:t>
      </w:r>
      <w:r w:rsidR="00DB3E2D" w:rsidRPr="00BB6E71">
        <w:rPr>
          <w:rFonts w:ascii="Georgia" w:eastAsia="Georgia" w:hAnsi="Georgia" w:cs="Georgia"/>
          <w:lang w:val="fr-CA"/>
        </w:rPr>
        <w:t>de personnes</w:t>
      </w:r>
      <w:r w:rsidRPr="00BB6E71">
        <w:rPr>
          <w:rFonts w:ascii="Georgia" w:eastAsia="Georgia" w:hAnsi="Georgia" w:cs="Georgia"/>
          <w:lang w:val="fr-CA"/>
        </w:rPr>
        <w:t>)</w:t>
      </w:r>
      <w:r w:rsidR="004D6D8B">
        <w:rPr>
          <w:rFonts w:ascii="Georgia" w:eastAsia="Georgia" w:hAnsi="Georgia" w:cs="Georgia"/>
          <w:lang w:val="fr-CA"/>
        </w:rPr>
        <w:t> </w:t>
      </w:r>
      <w:r w:rsidRPr="00BB6E71">
        <w:rPr>
          <w:rFonts w:ascii="Georgia" w:eastAsia="Georgia" w:hAnsi="Georgia" w:cs="Georgia"/>
          <w:lang w:val="fr-CA"/>
        </w:rPr>
        <w:t>:</w:t>
      </w:r>
      <w:bookmarkEnd w:id="5"/>
    </w:p>
    <w:p w14:paraId="52A7D314" w14:textId="43799C71" w:rsidR="00002E03" w:rsidRPr="00BB6E71" w:rsidRDefault="00325F74">
      <w:pPr>
        <w:ind w:left="720"/>
        <w:rPr>
          <w:rFonts w:ascii="Georgia" w:eastAsia="Georgia" w:hAnsi="Georgia" w:cs="Georgia"/>
          <w:lang w:val="fr-CA"/>
        </w:rPr>
      </w:pPr>
      <w:hyperlink r:id="rId7" w:history="1">
        <w:r w:rsidR="00DB3E2D" w:rsidRPr="00BB6E71">
          <w:rPr>
            <w:rFonts w:ascii="Georgia" w:eastAsia="Georgia" w:hAnsi="Georgia" w:cs="Georgia"/>
            <w:color w:val="1155CC"/>
            <w:u w:val="single"/>
            <w:lang w:val="fr-CA"/>
          </w:rPr>
          <w:t>https://www.canada.ca/content/dam/cra-arc/formspubs/pub/t5013-inst/t5013-inst-22f.pdf</w:t>
        </w:r>
      </w:hyperlink>
    </w:p>
    <w:p w14:paraId="0B598ECB" w14:textId="77777777" w:rsidR="00002E03" w:rsidRPr="00BB6E71" w:rsidRDefault="00002E03">
      <w:pPr>
        <w:rPr>
          <w:rFonts w:ascii="Georgia" w:eastAsia="Georgia" w:hAnsi="Georgia" w:cs="Georgia"/>
          <w:b/>
          <w:lang w:val="fr-CA"/>
        </w:rPr>
      </w:pPr>
    </w:p>
    <w:p w14:paraId="05C7C423" w14:textId="02530464" w:rsidR="00002E03" w:rsidRPr="00BB6E71" w:rsidRDefault="00A240B2">
      <w:pPr>
        <w:numPr>
          <w:ilvl w:val="0"/>
          <w:numId w:val="1"/>
        </w:numPr>
        <w:rPr>
          <w:rFonts w:ascii="Georgia" w:eastAsia="Georgia" w:hAnsi="Georgia" w:cs="Georgia"/>
          <w:b/>
          <w:lang w:val="fr-CA"/>
        </w:rPr>
      </w:pPr>
      <w:bookmarkStart w:id="6" w:name="lt_pId006"/>
      <w:r>
        <w:rPr>
          <w:rFonts w:ascii="Georgia" w:eastAsia="Georgia" w:hAnsi="Georgia" w:cs="Georgia"/>
          <w:b/>
          <w:lang w:val="fr-CA"/>
        </w:rPr>
        <w:t>Quels sont</w:t>
      </w:r>
      <w:r w:rsidR="00DB3E2D" w:rsidRPr="00BB6E71">
        <w:rPr>
          <w:rFonts w:ascii="Georgia" w:eastAsia="Georgia" w:hAnsi="Georgia" w:cs="Georgia"/>
          <w:b/>
          <w:lang w:val="fr-CA"/>
        </w:rPr>
        <w:t xml:space="preserve"> les </w:t>
      </w:r>
      <w:r w:rsidR="006A71A8" w:rsidRPr="00BB6E71">
        <w:rPr>
          <w:rFonts w:ascii="Georgia" w:eastAsia="Georgia" w:hAnsi="Georgia" w:cs="Georgia"/>
          <w:b/>
          <w:lang w:val="fr-CA"/>
        </w:rPr>
        <w:t>montants</w:t>
      </w:r>
      <w:r w:rsidR="00DB3E2D" w:rsidRPr="00BB6E71">
        <w:rPr>
          <w:rFonts w:ascii="Georgia" w:eastAsia="Georgia" w:hAnsi="Georgia" w:cs="Georgia"/>
          <w:b/>
          <w:lang w:val="fr-CA"/>
        </w:rPr>
        <w:t xml:space="preserve"> correspondant à la déduction pour créances douteuses</w:t>
      </w:r>
      <w:r>
        <w:rPr>
          <w:rFonts w:ascii="Georgia" w:eastAsia="Georgia" w:hAnsi="Georgia" w:cs="Georgia"/>
          <w:b/>
          <w:lang w:val="fr-CA"/>
        </w:rPr>
        <w:t>?</w:t>
      </w:r>
      <w:r w:rsidR="00DB3E2D" w:rsidRPr="00BB6E71">
        <w:rPr>
          <w:rFonts w:ascii="Georgia" w:eastAsia="Georgia" w:hAnsi="Georgia" w:cs="Georgia"/>
          <w:b/>
          <w:lang w:val="fr-CA"/>
        </w:rPr>
        <w:t xml:space="preserve"> </w:t>
      </w:r>
      <w:bookmarkEnd w:id="6"/>
    </w:p>
    <w:p w14:paraId="5BBC23A4" w14:textId="77777777" w:rsidR="00002E03" w:rsidRPr="00BB6E71" w:rsidRDefault="00002E03">
      <w:pPr>
        <w:ind w:left="720"/>
        <w:rPr>
          <w:rFonts w:ascii="Georgia" w:eastAsia="Georgia" w:hAnsi="Georgia" w:cs="Georgia"/>
          <w:lang w:val="fr-CA"/>
        </w:rPr>
      </w:pPr>
    </w:p>
    <w:p w14:paraId="5BB03BDE" w14:textId="7D65EDDF" w:rsidR="00002E03" w:rsidRPr="00BB6E71" w:rsidRDefault="00160169">
      <w:pPr>
        <w:ind w:left="720"/>
        <w:rPr>
          <w:rFonts w:ascii="Georgia" w:eastAsia="Georgia" w:hAnsi="Georgia" w:cs="Georgia"/>
          <w:color w:val="222222"/>
          <w:highlight w:val="white"/>
          <w:lang w:val="fr-CA"/>
        </w:rPr>
      </w:pPr>
      <w:bookmarkStart w:id="7" w:name="lt_pId007_leftovers"/>
      <w:r w:rsidRPr="00BB6E71">
        <w:rPr>
          <w:rFonts w:ascii="Georgia" w:eastAsia="Georgia" w:hAnsi="Georgia" w:cs="Georgia"/>
          <w:color w:val="222222"/>
          <w:lang w:val="fr-CA"/>
        </w:rPr>
        <w:t>Le cas échéant</w:t>
      </w:r>
      <w:r w:rsidRPr="00BB6E71">
        <w:rPr>
          <w:rFonts w:ascii="Georgia" w:eastAsia="Georgia" w:hAnsi="Georgia" w:cs="Georgia"/>
          <w:color w:val="222222"/>
          <w:vertAlign w:val="superscript"/>
          <w:lang w:val="fr-CA"/>
        </w:rPr>
        <w:footnoteReference w:id="2"/>
      </w:r>
      <w:bookmarkStart w:id="9" w:name="lt_pId007"/>
      <w:bookmarkEnd w:id="7"/>
      <w:r w:rsidR="00743F7A" w:rsidRPr="00BB6E71">
        <w:rPr>
          <w:rFonts w:ascii="Georgia" w:eastAsia="Georgia" w:hAnsi="Georgia" w:cs="Georgia"/>
          <w:color w:val="222222"/>
          <w:highlight w:val="white"/>
          <w:lang w:val="fr-CA"/>
        </w:rPr>
        <w:t>, la déduction pour créances douteuses (DC</w:t>
      </w:r>
      <w:r w:rsidR="004C0475" w:rsidRPr="00BB6E71">
        <w:rPr>
          <w:rFonts w:ascii="Georgia" w:eastAsia="Georgia" w:hAnsi="Georgia" w:cs="Georgia"/>
          <w:color w:val="222222"/>
          <w:highlight w:val="white"/>
          <w:lang w:val="fr-CA"/>
        </w:rPr>
        <w:t>D</w:t>
      </w:r>
      <w:r w:rsidR="00743F7A" w:rsidRPr="00BB6E71">
        <w:rPr>
          <w:rFonts w:ascii="Georgia" w:eastAsia="Georgia" w:hAnsi="Georgia" w:cs="Georgia"/>
          <w:color w:val="222222"/>
          <w:highlight w:val="white"/>
          <w:lang w:val="fr-CA"/>
        </w:rPr>
        <w:t>) pour cette année, conformément au paragraphe</w:t>
      </w:r>
      <w:r w:rsidR="004D6D8B">
        <w:rPr>
          <w:rFonts w:ascii="Georgia" w:eastAsia="Georgia" w:hAnsi="Georgia" w:cs="Georgia"/>
          <w:color w:val="222222"/>
          <w:highlight w:val="white"/>
          <w:lang w:val="fr-CA"/>
        </w:rPr>
        <w:t> </w:t>
      </w:r>
      <w:r w:rsidR="00743F7A" w:rsidRPr="00BB6E71">
        <w:rPr>
          <w:rFonts w:ascii="Georgia" w:eastAsia="Georgia" w:hAnsi="Georgia" w:cs="Georgia"/>
          <w:color w:val="222222"/>
          <w:highlight w:val="white"/>
          <w:lang w:val="fr-CA"/>
        </w:rPr>
        <w:t xml:space="preserve">20(1)(l) de la </w:t>
      </w:r>
      <w:r w:rsidR="00743F7A" w:rsidRPr="00BB6E71">
        <w:rPr>
          <w:rFonts w:ascii="Georgia" w:eastAsia="Georgia" w:hAnsi="Georgia" w:cs="Georgia"/>
          <w:i/>
          <w:color w:val="222222"/>
          <w:highlight w:val="white"/>
          <w:lang w:val="fr-CA"/>
        </w:rPr>
        <w:t>Loi de l’impôt sur le revenu</w:t>
      </w:r>
      <w:r w:rsidR="00743F7A" w:rsidRPr="00BB6E71">
        <w:rPr>
          <w:rFonts w:ascii="Georgia" w:eastAsia="Georgia" w:hAnsi="Georgia" w:cs="Georgia"/>
          <w:color w:val="222222"/>
          <w:highlight w:val="white"/>
          <w:lang w:val="fr-CA"/>
        </w:rPr>
        <w:t xml:space="preserve"> (Canada), sera beaucoup moins élevée que celle de l’an dernier.</w:t>
      </w:r>
      <w:bookmarkEnd w:id="9"/>
      <w:r w:rsidRPr="00BB6E71">
        <w:rPr>
          <w:rFonts w:ascii="Georgia" w:eastAsia="Georgia" w:hAnsi="Georgia" w:cs="Georgia"/>
          <w:color w:val="222222"/>
          <w:highlight w:val="white"/>
          <w:lang w:val="fr-CA"/>
        </w:rPr>
        <w:t xml:space="preserve"> </w:t>
      </w:r>
      <w:bookmarkStart w:id="10" w:name="lt_pId008"/>
      <w:r w:rsidRPr="00BB6E71">
        <w:rPr>
          <w:rFonts w:ascii="Georgia" w:eastAsia="Georgia" w:hAnsi="Georgia" w:cs="Georgia"/>
          <w:color w:val="222222"/>
          <w:highlight w:val="white"/>
          <w:lang w:val="fr-CA"/>
        </w:rPr>
        <w:t xml:space="preserve">Il </w:t>
      </w:r>
      <w:r w:rsidR="006A71A8" w:rsidRPr="00BB6E71">
        <w:rPr>
          <w:rFonts w:ascii="Georgia" w:eastAsia="Georgia" w:hAnsi="Georgia" w:cs="Georgia"/>
          <w:color w:val="222222"/>
          <w:highlight w:val="white"/>
          <w:lang w:val="fr-CA"/>
        </w:rPr>
        <w:t>existe</w:t>
      </w:r>
      <w:r w:rsidRPr="00BB6E71">
        <w:rPr>
          <w:rFonts w:ascii="Georgia" w:eastAsia="Georgia" w:hAnsi="Georgia" w:cs="Georgia"/>
          <w:color w:val="222222"/>
          <w:highlight w:val="white"/>
          <w:lang w:val="fr-CA"/>
        </w:rPr>
        <w:t xml:space="preserve"> également des revenus et des pertes </w:t>
      </w:r>
      <w:r w:rsidR="00BB6E71" w:rsidRPr="00BB6E71">
        <w:rPr>
          <w:rFonts w:ascii="Georgia" w:eastAsia="Georgia" w:hAnsi="Georgia" w:cs="Georgia"/>
          <w:color w:val="222222"/>
          <w:highlight w:val="white"/>
          <w:lang w:val="fr-CA"/>
        </w:rPr>
        <w:t>réalisées</w:t>
      </w:r>
      <w:r w:rsidRPr="00BB6E71">
        <w:rPr>
          <w:rFonts w:ascii="Georgia" w:eastAsia="Georgia" w:hAnsi="Georgia" w:cs="Georgia"/>
          <w:color w:val="222222"/>
          <w:highlight w:val="white"/>
          <w:lang w:val="fr-CA"/>
        </w:rPr>
        <w:t xml:space="preserve"> pour </w:t>
      </w:r>
      <w:r w:rsidR="0034677B">
        <w:rPr>
          <w:rFonts w:ascii="Georgia" w:eastAsia="Georgia" w:hAnsi="Georgia" w:cs="Georgia"/>
          <w:color w:val="222222"/>
          <w:highlight w:val="white"/>
          <w:lang w:val="fr-CA"/>
        </w:rPr>
        <w:t>l’</w:t>
      </w:r>
      <w:r w:rsidRPr="00BB6E71">
        <w:rPr>
          <w:rFonts w:ascii="Georgia" w:eastAsia="Georgia" w:hAnsi="Georgia" w:cs="Georgia"/>
          <w:color w:val="222222"/>
          <w:highlight w:val="white"/>
          <w:lang w:val="fr-CA"/>
        </w:rPr>
        <w:t>année</w:t>
      </w:r>
      <w:r w:rsidR="0034677B">
        <w:rPr>
          <w:rFonts w:ascii="Georgia" w:eastAsia="Georgia" w:hAnsi="Georgia" w:cs="Georgia"/>
          <w:color w:val="222222"/>
          <w:highlight w:val="white"/>
          <w:lang w:val="fr-CA"/>
        </w:rPr>
        <w:t xml:space="preserve"> considérée</w:t>
      </w:r>
      <w:r w:rsidRPr="00BB6E71">
        <w:rPr>
          <w:rFonts w:ascii="Georgia" w:eastAsia="Georgia" w:hAnsi="Georgia" w:cs="Georgia"/>
          <w:color w:val="222222"/>
          <w:highlight w:val="white"/>
          <w:lang w:val="fr-CA"/>
        </w:rPr>
        <w:t>.</w:t>
      </w:r>
      <w:bookmarkEnd w:id="10"/>
      <w:r w:rsidRPr="00BB6E71">
        <w:rPr>
          <w:rFonts w:ascii="Georgia" w:eastAsia="Georgia" w:hAnsi="Georgia" w:cs="Georgia"/>
          <w:color w:val="222222"/>
          <w:highlight w:val="white"/>
          <w:lang w:val="fr-CA"/>
        </w:rPr>
        <w:t xml:space="preserve"> </w:t>
      </w:r>
      <w:bookmarkStart w:id="11" w:name="lt_pId009"/>
      <w:r w:rsidR="007B0923" w:rsidRPr="00BB6E71">
        <w:rPr>
          <w:rFonts w:ascii="Georgia" w:eastAsia="Georgia" w:hAnsi="Georgia" w:cs="Georgia"/>
          <w:color w:val="222222"/>
          <w:highlight w:val="white"/>
          <w:lang w:val="fr-CA"/>
        </w:rPr>
        <w:t xml:space="preserve">Tous ces montants ont été consolidés pour déterminer le revenu net ou la perte nette de </w:t>
      </w:r>
      <w:r w:rsidR="0034677B">
        <w:rPr>
          <w:rFonts w:ascii="Georgia" w:eastAsia="Georgia" w:hAnsi="Georgia" w:cs="Georgia"/>
          <w:color w:val="222222"/>
          <w:highlight w:val="white"/>
          <w:lang w:val="fr-CA"/>
        </w:rPr>
        <w:t>l’</w:t>
      </w:r>
      <w:r w:rsidR="007B0923" w:rsidRPr="00BB6E71">
        <w:rPr>
          <w:rFonts w:ascii="Georgia" w:eastAsia="Georgia" w:hAnsi="Georgia" w:cs="Georgia"/>
          <w:color w:val="222222"/>
          <w:highlight w:val="white"/>
          <w:lang w:val="fr-CA"/>
        </w:rPr>
        <w:t xml:space="preserve">année </w:t>
      </w:r>
      <w:r w:rsidR="0034677B">
        <w:rPr>
          <w:rFonts w:ascii="Georgia" w:eastAsia="Georgia" w:hAnsi="Georgia" w:cs="Georgia"/>
          <w:color w:val="222222"/>
          <w:highlight w:val="white"/>
          <w:lang w:val="fr-CA"/>
        </w:rPr>
        <w:t xml:space="preserve">considérée </w:t>
      </w:r>
      <w:r w:rsidR="007B0923" w:rsidRPr="00BB6E71">
        <w:rPr>
          <w:rFonts w:ascii="Georgia" w:eastAsia="Georgia" w:hAnsi="Georgia" w:cs="Georgia"/>
          <w:color w:val="222222"/>
          <w:highlight w:val="white"/>
          <w:lang w:val="fr-CA"/>
        </w:rPr>
        <w:t xml:space="preserve">inscrit à la case 104 du </w:t>
      </w:r>
      <w:r w:rsidR="00AC3F39" w:rsidRPr="00BB6E71">
        <w:rPr>
          <w:rFonts w:ascii="Georgia" w:eastAsia="Georgia" w:hAnsi="Georgia" w:cs="Georgia"/>
          <w:color w:val="222222"/>
          <w:highlight w:val="white"/>
          <w:lang w:val="fr-CA"/>
        </w:rPr>
        <w:t>feuillet</w:t>
      </w:r>
      <w:r w:rsidR="004D6D8B">
        <w:rPr>
          <w:rFonts w:ascii="Georgia" w:eastAsia="Georgia" w:hAnsi="Georgia" w:cs="Georgia"/>
          <w:color w:val="222222"/>
          <w:highlight w:val="white"/>
          <w:lang w:val="fr-CA"/>
        </w:rPr>
        <w:t> </w:t>
      </w:r>
      <w:r w:rsidR="007B0923" w:rsidRPr="00BB6E71">
        <w:rPr>
          <w:rFonts w:ascii="Georgia" w:eastAsia="Georgia" w:hAnsi="Georgia" w:cs="Georgia"/>
          <w:color w:val="222222"/>
          <w:highlight w:val="white"/>
          <w:lang w:val="fr-CA"/>
        </w:rPr>
        <w:t xml:space="preserve">T5013 du </w:t>
      </w:r>
      <w:r w:rsidR="004408EA" w:rsidRPr="00BB6E71">
        <w:rPr>
          <w:rFonts w:ascii="Georgia" w:eastAsia="Georgia" w:hAnsi="Georgia" w:cs="Georgia"/>
          <w:color w:val="222222"/>
          <w:highlight w:val="white"/>
          <w:lang w:val="fr-CA"/>
        </w:rPr>
        <w:t>porteur de parts</w:t>
      </w:r>
      <w:r w:rsidR="007B0923" w:rsidRPr="00BB6E71">
        <w:rPr>
          <w:rFonts w:ascii="Georgia" w:eastAsia="Georgia" w:hAnsi="Georgia" w:cs="Georgia"/>
          <w:color w:val="222222"/>
          <w:highlight w:val="white"/>
          <w:lang w:val="fr-CA"/>
        </w:rPr>
        <w:t>.</w:t>
      </w:r>
      <w:bookmarkEnd w:id="11"/>
      <w:r w:rsidR="0017346B" w:rsidRPr="00BB6E71">
        <w:rPr>
          <w:rFonts w:ascii="Georgia" w:eastAsia="Georgia" w:hAnsi="Georgia" w:cs="Georgia"/>
          <w:color w:val="222222"/>
          <w:highlight w:val="white"/>
          <w:lang w:val="fr-CA"/>
        </w:rPr>
        <w:t xml:space="preserve"> </w:t>
      </w:r>
    </w:p>
    <w:p w14:paraId="12F5A611" w14:textId="77777777" w:rsidR="00002E03" w:rsidRPr="00BB6E71" w:rsidRDefault="00002E03">
      <w:pPr>
        <w:ind w:left="720"/>
        <w:rPr>
          <w:rFonts w:ascii="Georgia" w:eastAsia="Georgia" w:hAnsi="Georgia" w:cs="Georgia"/>
          <w:color w:val="222222"/>
          <w:highlight w:val="white"/>
          <w:lang w:val="fr-CA"/>
        </w:rPr>
      </w:pPr>
    </w:p>
    <w:p w14:paraId="74F09BA9" w14:textId="23139449" w:rsidR="00002E03" w:rsidRPr="00BB6E71" w:rsidRDefault="0027712D">
      <w:pPr>
        <w:ind w:left="720"/>
        <w:rPr>
          <w:rFonts w:ascii="Georgia" w:eastAsia="Georgia" w:hAnsi="Georgia" w:cs="Georgia"/>
          <w:color w:val="222222"/>
          <w:highlight w:val="white"/>
          <w:lang w:val="fr-CA"/>
        </w:rPr>
      </w:pPr>
      <w:bookmarkStart w:id="12" w:name="lt_pId010"/>
      <w:r w:rsidRPr="00BB6E71">
        <w:rPr>
          <w:rFonts w:ascii="Georgia" w:eastAsia="Georgia" w:hAnsi="Georgia" w:cs="Georgia"/>
          <w:color w:val="222222"/>
          <w:highlight w:val="white"/>
          <w:lang w:val="fr-CA"/>
        </w:rPr>
        <w:t xml:space="preserve">Une perte nette </w:t>
      </w:r>
      <w:r w:rsidR="006A71A8" w:rsidRPr="00BB6E71">
        <w:rPr>
          <w:rFonts w:ascii="Georgia" w:eastAsia="Georgia" w:hAnsi="Georgia" w:cs="Georgia"/>
          <w:color w:val="222222"/>
          <w:highlight w:val="white"/>
          <w:lang w:val="fr-CA"/>
        </w:rPr>
        <w:t>correspond à</w:t>
      </w:r>
      <w:r w:rsidRPr="00BB6E71">
        <w:rPr>
          <w:rFonts w:ascii="Georgia" w:eastAsia="Georgia" w:hAnsi="Georgia" w:cs="Georgia"/>
          <w:color w:val="222222"/>
          <w:highlight w:val="white"/>
          <w:lang w:val="fr-CA"/>
        </w:rPr>
        <w:t xml:space="preserve"> un nombre négatif à la case</w:t>
      </w:r>
      <w:r w:rsidR="004D6D8B">
        <w:rPr>
          <w:rFonts w:ascii="Georgia" w:eastAsia="Georgia" w:hAnsi="Georgia" w:cs="Georgia"/>
          <w:color w:val="222222"/>
          <w:highlight w:val="white"/>
          <w:lang w:val="fr-CA"/>
        </w:rPr>
        <w:t> </w:t>
      </w:r>
      <w:r w:rsidRPr="00BB6E71">
        <w:rPr>
          <w:rFonts w:ascii="Georgia" w:eastAsia="Georgia" w:hAnsi="Georgia" w:cs="Georgia"/>
          <w:color w:val="222222"/>
          <w:highlight w:val="white"/>
          <w:lang w:val="fr-CA"/>
        </w:rPr>
        <w:t xml:space="preserve">104 et doit être appliquée par les </w:t>
      </w:r>
      <w:r w:rsidR="004408EA" w:rsidRPr="00BB6E71">
        <w:rPr>
          <w:rFonts w:ascii="Georgia" w:eastAsia="Georgia" w:hAnsi="Georgia" w:cs="Georgia"/>
          <w:color w:val="222222"/>
          <w:highlight w:val="white"/>
          <w:lang w:val="fr-CA"/>
        </w:rPr>
        <w:t>porteurs de parts</w:t>
      </w:r>
      <w:r w:rsidRPr="00BB6E71">
        <w:rPr>
          <w:rFonts w:ascii="Georgia" w:eastAsia="Georgia" w:hAnsi="Georgia" w:cs="Georgia"/>
          <w:color w:val="222222"/>
          <w:highlight w:val="white"/>
          <w:lang w:val="fr-CA"/>
        </w:rPr>
        <w:t xml:space="preserve"> à titre de perte globale pour l’année, pour chacun des Fonds Bridging </w:t>
      </w:r>
      <w:r w:rsidR="006A71A8" w:rsidRPr="00BB6E71">
        <w:rPr>
          <w:rFonts w:ascii="Georgia" w:eastAsia="Georgia" w:hAnsi="Georgia" w:cs="Georgia"/>
          <w:color w:val="222222"/>
          <w:highlight w:val="white"/>
          <w:lang w:val="fr-CA"/>
        </w:rPr>
        <w:t>inclus dans la déclaration de revenus</w:t>
      </w:r>
      <w:r w:rsidRPr="00BB6E71">
        <w:rPr>
          <w:rFonts w:ascii="Georgia" w:eastAsia="Georgia" w:hAnsi="Georgia" w:cs="Georgia"/>
          <w:color w:val="222222"/>
          <w:highlight w:val="white"/>
          <w:lang w:val="fr-CA"/>
        </w:rPr>
        <w:t>.</w:t>
      </w:r>
      <w:bookmarkEnd w:id="12"/>
      <w:r w:rsidRPr="00BB6E71">
        <w:rPr>
          <w:rFonts w:ascii="Georgia" w:eastAsia="Georgia" w:hAnsi="Georgia" w:cs="Georgia"/>
          <w:color w:val="222222"/>
          <w:highlight w:val="white"/>
          <w:lang w:val="fr-CA"/>
        </w:rPr>
        <w:t xml:space="preserve"> </w:t>
      </w:r>
      <w:bookmarkStart w:id="13" w:name="lt_pId011"/>
      <w:r w:rsidR="00F43C57" w:rsidRPr="00BB6E71">
        <w:rPr>
          <w:rFonts w:ascii="Georgia" w:eastAsia="Georgia" w:hAnsi="Georgia" w:cs="Georgia"/>
          <w:color w:val="222222"/>
          <w:highlight w:val="white"/>
          <w:lang w:val="fr-CA"/>
        </w:rPr>
        <w:t xml:space="preserve">Les </w:t>
      </w:r>
      <w:r w:rsidR="004408EA" w:rsidRPr="00BB6E71">
        <w:rPr>
          <w:rFonts w:ascii="Georgia" w:eastAsia="Georgia" w:hAnsi="Georgia" w:cs="Georgia"/>
          <w:color w:val="222222"/>
          <w:highlight w:val="white"/>
          <w:lang w:val="fr-CA"/>
        </w:rPr>
        <w:t>porteurs de parts</w:t>
      </w:r>
      <w:r w:rsidR="00F43C57" w:rsidRPr="00BB6E71">
        <w:rPr>
          <w:rFonts w:ascii="Georgia" w:eastAsia="Georgia" w:hAnsi="Georgia" w:cs="Georgia"/>
          <w:color w:val="222222"/>
          <w:highlight w:val="white"/>
          <w:lang w:val="fr-CA"/>
        </w:rPr>
        <w:t xml:space="preserve"> doivent s’assurer d’inclure tous les montants inscrits </w:t>
      </w:r>
      <w:r w:rsidR="007C100D" w:rsidRPr="00BB6E71">
        <w:rPr>
          <w:rFonts w:ascii="Georgia" w:eastAsia="Georgia" w:hAnsi="Georgia" w:cs="Georgia"/>
          <w:color w:val="222222"/>
          <w:highlight w:val="white"/>
          <w:lang w:val="fr-CA"/>
        </w:rPr>
        <w:t>sur le</w:t>
      </w:r>
      <w:r w:rsidR="00F43C57" w:rsidRPr="00BB6E71">
        <w:rPr>
          <w:rFonts w:ascii="Georgia" w:eastAsia="Georgia" w:hAnsi="Georgia" w:cs="Georgia"/>
          <w:color w:val="222222"/>
          <w:highlight w:val="white"/>
          <w:lang w:val="fr-CA"/>
        </w:rPr>
        <w:t xml:space="preserve"> </w:t>
      </w:r>
      <w:r w:rsidR="00AC3F39" w:rsidRPr="00BB6E71">
        <w:rPr>
          <w:rFonts w:ascii="Georgia" w:eastAsia="Georgia" w:hAnsi="Georgia" w:cs="Georgia"/>
          <w:color w:val="222222"/>
          <w:highlight w:val="white"/>
          <w:lang w:val="fr-CA"/>
        </w:rPr>
        <w:t>feuillet</w:t>
      </w:r>
      <w:r w:rsidR="004D6D8B">
        <w:rPr>
          <w:rFonts w:ascii="Georgia" w:eastAsia="Georgia" w:hAnsi="Georgia" w:cs="Georgia"/>
          <w:color w:val="222222"/>
          <w:highlight w:val="white"/>
          <w:lang w:val="fr-CA"/>
        </w:rPr>
        <w:t> </w:t>
      </w:r>
      <w:r w:rsidR="00F43C57" w:rsidRPr="00BB6E71">
        <w:rPr>
          <w:rFonts w:ascii="Georgia" w:eastAsia="Georgia" w:hAnsi="Georgia" w:cs="Georgia"/>
          <w:color w:val="222222"/>
          <w:highlight w:val="white"/>
          <w:lang w:val="fr-CA"/>
        </w:rPr>
        <w:t>T5013, y compris les déductions inscrites à la case</w:t>
      </w:r>
      <w:r w:rsidR="004D6D8B">
        <w:rPr>
          <w:rFonts w:ascii="Georgia" w:eastAsia="Georgia" w:hAnsi="Georgia" w:cs="Georgia"/>
          <w:color w:val="222222"/>
          <w:highlight w:val="white"/>
          <w:lang w:val="fr-CA"/>
        </w:rPr>
        <w:t> </w:t>
      </w:r>
      <w:r w:rsidR="00F43C57" w:rsidRPr="00BB6E71">
        <w:rPr>
          <w:rFonts w:ascii="Georgia" w:eastAsia="Georgia" w:hAnsi="Georgia" w:cs="Georgia"/>
          <w:color w:val="222222"/>
          <w:highlight w:val="white"/>
          <w:lang w:val="fr-CA"/>
        </w:rPr>
        <w:t>210 (tout comme pour les années antérieures).</w:t>
      </w:r>
      <w:bookmarkEnd w:id="13"/>
    </w:p>
    <w:p w14:paraId="4D909928" w14:textId="77777777" w:rsidR="00002E03" w:rsidRPr="00AD5E40" w:rsidRDefault="00002E03">
      <w:pPr>
        <w:ind w:left="720"/>
        <w:rPr>
          <w:rFonts w:ascii="Georgia" w:eastAsia="Georgia" w:hAnsi="Georgia" w:cs="Georgia"/>
          <w:color w:val="222222"/>
          <w:lang w:val="fr-CA"/>
        </w:rPr>
      </w:pPr>
    </w:p>
    <w:p w14:paraId="3F5069A0" w14:textId="5B4E25AF" w:rsidR="00002E03" w:rsidRPr="00BB6E71" w:rsidRDefault="00DA2E08">
      <w:pPr>
        <w:ind w:left="720"/>
        <w:rPr>
          <w:rFonts w:ascii="Georgia" w:eastAsia="Georgia" w:hAnsi="Georgia" w:cs="Georgia"/>
          <w:color w:val="222222"/>
          <w:highlight w:val="white"/>
          <w:lang w:val="fr-CA"/>
        </w:rPr>
      </w:pPr>
      <w:bookmarkStart w:id="14" w:name="lt_pId012"/>
      <w:r w:rsidRPr="00AD5E40">
        <w:rPr>
          <w:rFonts w:ascii="Georgia" w:eastAsia="Georgia" w:hAnsi="Georgia" w:cs="Georgia"/>
          <w:color w:val="222222"/>
          <w:lang w:val="fr-CA"/>
        </w:rPr>
        <w:t xml:space="preserve">L’apparence </w:t>
      </w:r>
      <w:r w:rsidR="007C100D" w:rsidRPr="00AD5E40">
        <w:rPr>
          <w:rFonts w:ascii="Georgia" w:eastAsia="Georgia" w:hAnsi="Georgia" w:cs="Georgia"/>
          <w:color w:val="222222"/>
          <w:lang w:val="fr-CA"/>
        </w:rPr>
        <w:t xml:space="preserve">de ce feuillet </w:t>
      </w:r>
      <w:r w:rsidRPr="00BB6E71">
        <w:rPr>
          <w:rFonts w:ascii="Georgia" w:eastAsia="Georgia" w:hAnsi="Georgia" w:cs="Georgia"/>
          <w:color w:val="222222"/>
          <w:highlight w:val="white"/>
          <w:lang w:val="fr-CA"/>
        </w:rPr>
        <w:t xml:space="preserve">est différente </w:t>
      </w:r>
      <w:r w:rsidR="007C100D" w:rsidRPr="00BB6E71">
        <w:rPr>
          <w:rFonts w:ascii="Georgia" w:eastAsia="Georgia" w:hAnsi="Georgia" w:cs="Georgia"/>
          <w:color w:val="222222"/>
          <w:highlight w:val="white"/>
          <w:lang w:val="fr-CA"/>
        </w:rPr>
        <w:t xml:space="preserve">cette année </w:t>
      </w:r>
      <w:r w:rsidR="008B638D">
        <w:rPr>
          <w:rFonts w:ascii="Georgia" w:eastAsia="Georgia" w:hAnsi="Georgia" w:cs="Georgia"/>
          <w:color w:val="222222"/>
          <w:highlight w:val="white"/>
          <w:lang w:val="fr-CA"/>
        </w:rPr>
        <w:t>comparativement</w:t>
      </w:r>
      <w:r w:rsidR="007C100D" w:rsidRPr="00BB6E71">
        <w:rPr>
          <w:rFonts w:ascii="Georgia" w:eastAsia="Georgia" w:hAnsi="Georgia" w:cs="Georgia"/>
          <w:color w:val="222222"/>
          <w:highlight w:val="white"/>
          <w:lang w:val="fr-CA"/>
        </w:rPr>
        <w:t xml:space="preserve"> à</w:t>
      </w:r>
      <w:r w:rsidRPr="00BB6E71">
        <w:rPr>
          <w:rFonts w:ascii="Georgia" w:eastAsia="Georgia" w:hAnsi="Georgia" w:cs="Georgia"/>
          <w:color w:val="222222"/>
          <w:highlight w:val="white"/>
          <w:lang w:val="fr-CA"/>
        </w:rPr>
        <w:t xml:space="preserve"> 2021, car elle a été modifiée pour mieux présenter la performance économique des fonds après le début du processus de mise sous séquestre.</w:t>
      </w:r>
      <w:bookmarkEnd w:id="14"/>
      <w:r w:rsidRPr="00BB6E71">
        <w:rPr>
          <w:rFonts w:ascii="Georgia" w:eastAsia="Georgia" w:hAnsi="Georgia" w:cs="Georgia"/>
          <w:color w:val="222222"/>
          <w:highlight w:val="white"/>
          <w:lang w:val="fr-CA"/>
        </w:rPr>
        <w:t xml:space="preserve"> </w:t>
      </w:r>
      <w:bookmarkStart w:id="15" w:name="lt_pId013"/>
      <w:r w:rsidR="00D76F68" w:rsidRPr="00BB6E71">
        <w:rPr>
          <w:rFonts w:ascii="Georgia" w:eastAsia="Georgia" w:hAnsi="Georgia" w:cs="Georgia"/>
          <w:color w:val="222222"/>
          <w:highlight w:val="white"/>
          <w:lang w:val="fr-CA"/>
        </w:rPr>
        <w:t xml:space="preserve">Ce changement d’apparence n’a aucune incidence </w:t>
      </w:r>
      <w:r w:rsidR="001B4A2C">
        <w:rPr>
          <w:rFonts w:ascii="Georgia" w:eastAsia="Georgia" w:hAnsi="Georgia" w:cs="Georgia"/>
          <w:color w:val="222222"/>
          <w:highlight w:val="white"/>
          <w:lang w:val="fr-CA"/>
        </w:rPr>
        <w:t xml:space="preserve">fiscale </w:t>
      </w:r>
      <w:r w:rsidR="00D76F68" w:rsidRPr="00BB6E71">
        <w:rPr>
          <w:rFonts w:ascii="Georgia" w:eastAsia="Georgia" w:hAnsi="Georgia" w:cs="Georgia"/>
          <w:color w:val="222222"/>
          <w:highlight w:val="white"/>
          <w:lang w:val="fr-CA"/>
        </w:rPr>
        <w:t xml:space="preserve">sur les </w:t>
      </w:r>
      <w:r w:rsidR="004408EA" w:rsidRPr="00BB6E71">
        <w:rPr>
          <w:rFonts w:ascii="Georgia" w:eastAsia="Georgia" w:hAnsi="Georgia" w:cs="Georgia"/>
          <w:color w:val="222222"/>
          <w:highlight w:val="white"/>
          <w:lang w:val="fr-CA"/>
        </w:rPr>
        <w:t>porteurs de parts</w:t>
      </w:r>
      <w:r w:rsidR="00D76F68" w:rsidRPr="00BB6E71">
        <w:rPr>
          <w:rFonts w:ascii="Georgia" w:eastAsia="Georgia" w:hAnsi="Georgia" w:cs="Georgia"/>
          <w:color w:val="222222"/>
          <w:highlight w:val="white"/>
          <w:lang w:val="fr-CA"/>
        </w:rPr>
        <w:t xml:space="preserve">. </w:t>
      </w:r>
      <w:bookmarkEnd w:id="15"/>
    </w:p>
    <w:p w14:paraId="0AF0EDA7" w14:textId="77777777" w:rsidR="00002E03" w:rsidRPr="00BB6E71" w:rsidRDefault="00002E03">
      <w:pPr>
        <w:rPr>
          <w:rFonts w:ascii="Georgia" w:eastAsia="Georgia" w:hAnsi="Georgia" w:cs="Georgia"/>
          <w:lang w:val="fr-CA"/>
        </w:rPr>
      </w:pPr>
    </w:p>
    <w:p w14:paraId="57D9E0EE" w14:textId="21454329" w:rsidR="00002E03" w:rsidRPr="00BB6E71" w:rsidRDefault="008734C1">
      <w:pPr>
        <w:ind w:left="720"/>
        <w:rPr>
          <w:rFonts w:ascii="Georgia" w:eastAsia="Georgia" w:hAnsi="Georgia" w:cs="Georgia"/>
          <w:color w:val="222222"/>
          <w:highlight w:val="white"/>
          <w:lang w:val="fr-CA"/>
        </w:rPr>
      </w:pPr>
      <w:bookmarkStart w:id="16" w:name="lt_pId014"/>
      <w:r w:rsidRPr="00BB6E71">
        <w:rPr>
          <w:rFonts w:ascii="Georgia" w:eastAsia="Georgia" w:hAnsi="Georgia" w:cs="Georgia"/>
          <w:color w:val="222222"/>
          <w:highlight w:val="white"/>
          <w:lang w:val="fr-CA"/>
        </w:rPr>
        <w:t xml:space="preserve">Les </w:t>
      </w:r>
      <w:r w:rsidR="004408EA" w:rsidRPr="00BB6E71">
        <w:rPr>
          <w:rFonts w:ascii="Georgia" w:eastAsia="Georgia" w:hAnsi="Georgia" w:cs="Georgia"/>
          <w:color w:val="222222"/>
          <w:highlight w:val="white"/>
          <w:lang w:val="fr-CA"/>
        </w:rPr>
        <w:t>porteurs de parts</w:t>
      </w:r>
      <w:r w:rsidRPr="00BB6E71">
        <w:rPr>
          <w:rFonts w:ascii="Georgia" w:eastAsia="Georgia" w:hAnsi="Georgia" w:cs="Georgia"/>
          <w:color w:val="222222"/>
          <w:highlight w:val="white"/>
          <w:lang w:val="fr-CA"/>
        </w:rPr>
        <w:t xml:space="preserve"> doivent inclure toutes les informations figurant dans les diverses cases du </w:t>
      </w:r>
      <w:r w:rsidR="00AC3F39" w:rsidRPr="00BB6E71">
        <w:rPr>
          <w:rFonts w:ascii="Georgia" w:eastAsia="Georgia" w:hAnsi="Georgia" w:cs="Georgia"/>
          <w:color w:val="222222"/>
          <w:highlight w:val="white"/>
          <w:lang w:val="fr-CA"/>
        </w:rPr>
        <w:t>feuillet</w:t>
      </w:r>
      <w:r w:rsidRPr="00BB6E71">
        <w:rPr>
          <w:rFonts w:ascii="Georgia" w:eastAsia="Georgia" w:hAnsi="Georgia" w:cs="Georgia"/>
          <w:color w:val="222222"/>
          <w:highlight w:val="white"/>
          <w:lang w:val="fr-CA"/>
        </w:rPr>
        <w:t xml:space="preserve"> au moment de la préparation de leur déclaration de revenus.</w:t>
      </w:r>
      <w:bookmarkEnd w:id="16"/>
      <w:r w:rsidR="0017346B" w:rsidRPr="00BB6E71">
        <w:rPr>
          <w:rFonts w:ascii="Georgia" w:eastAsia="Georgia" w:hAnsi="Georgia" w:cs="Georgia"/>
          <w:color w:val="222222"/>
          <w:highlight w:val="white"/>
          <w:lang w:val="fr-CA"/>
        </w:rPr>
        <w:t xml:space="preserve"> </w:t>
      </w:r>
    </w:p>
    <w:p w14:paraId="5C96EC51" w14:textId="77777777" w:rsidR="00002E03" w:rsidRPr="00BB6E71" w:rsidRDefault="00002E03">
      <w:pPr>
        <w:ind w:left="720"/>
        <w:rPr>
          <w:rFonts w:ascii="Georgia" w:eastAsia="Georgia" w:hAnsi="Georgia" w:cs="Georgia"/>
          <w:color w:val="222222"/>
          <w:highlight w:val="white"/>
          <w:lang w:val="fr-CA"/>
        </w:rPr>
      </w:pPr>
    </w:p>
    <w:p w14:paraId="24F4C1CF" w14:textId="6AFA2366" w:rsidR="00002E03" w:rsidRPr="00BB6E71" w:rsidRDefault="006032ED">
      <w:pPr>
        <w:numPr>
          <w:ilvl w:val="0"/>
          <w:numId w:val="1"/>
        </w:numPr>
        <w:rPr>
          <w:rFonts w:ascii="Georgia" w:eastAsia="Georgia" w:hAnsi="Georgia" w:cs="Georgia"/>
          <w:b/>
          <w:lang w:val="fr-CA"/>
        </w:rPr>
      </w:pPr>
      <w:bookmarkStart w:id="17" w:name="lt_pId015"/>
      <w:r w:rsidRPr="00572437">
        <w:rPr>
          <w:rFonts w:ascii="Georgia" w:eastAsia="Georgia" w:hAnsi="Georgia" w:cs="Georgia"/>
          <w:b/>
          <w:lang w:val="fr-CA"/>
        </w:rPr>
        <w:t>Pourquoi</w:t>
      </w:r>
      <w:r w:rsidRPr="00BB6E71">
        <w:rPr>
          <w:rFonts w:ascii="Georgia" w:eastAsia="Georgia" w:hAnsi="Georgia" w:cs="Georgia"/>
          <w:b/>
          <w:lang w:val="fr-CA"/>
        </w:rPr>
        <w:t xml:space="preserve"> le montant de la case 104 (Revenu </w:t>
      </w:r>
      <w:r w:rsidR="00572437">
        <w:rPr>
          <w:rFonts w:ascii="Georgia" w:eastAsia="Georgia" w:hAnsi="Georgia" w:cs="Georgia"/>
          <w:b/>
          <w:lang w:val="fr-CA"/>
        </w:rPr>
        <w:t xml:space="preserve">(perte) </w:t>
      </w:r>
      <w:r w:rsidRPr="00BB6E71">
        <w:rPr>
          <w:rFonts w:ascii="Georgia" w:eastAsia="Georgia" w:hAnsi="Georgia" w:cs="Georgia"/>
          <w:b/>
          <w:lang w:val="fr-CA"/>
        </w:rPr>
        <w:t>d’entreprise du commanditaire) est-il négatif?</w:t>
      </w:r>
      <w:bookmarkEnd w:id="17"/>
      <w:r w:rsidRPr="00BB6E71">
        <w:rPr>
          <w:rFonts w:ascii="Georgia" w:eastAsia="Georgia" w:hAnsi="Georgia" w:cs="Georgia"/>
          <w:b/>
          <w:lang w:val="fr-CA"/>
        </w:rPr>
        <w:t xml:space="preserve"> </w:t>
      </w:r>
      <w:bookmarkStart w:id="18" w:name="lt_pId016"/>
      <w:r w:rsidR="00765F04" w:rsidRPr="00BB6E71">
        <w:rPr>
          <w:rFonts w:ascii="Georgia" w:eastAsia="Georgia" w:hAnsi="Georgia" w:cs="Georgia"/>
          <w:b/>
          <w:lang w:val="fr-CA"/>
        </w:rPr>
        <w:t>D’où provient ce montant?</w:t>
      </w:r>
      <w:bookmarkEnd w:id="18"/>
    </w:p>
    <w:p w14:paraId="5CBBE8A1" w14:textId="77777777" w:rsidR="00002E03" w:rsidRPr="00BB6E71" w:rsidRDefault="00002E03">
      <w:pPr>
        <w:ind w:left="720"/>
        <w:rPr>
          <w:rFonts w:ascii="Georgia" w:eastAsia="Georgia" w:hAnsi="Georgia" w:cs="Georgia"/>
          <w:color w:val="222222"/>
          <w:sz w:val="20"/>
          <w:szCs w:val="20"/>
          <w:highlight w:val="white"/>
          <w:lang w:val="fr-CA"/>
        </w:rPr>
      </w:pPr>
    </w:p>
    <w:p w14:paraId="2FD85ECD" w14:textId="52304214" w:rsidR="00002E03" w:rsidRPr="00BB6E71" w:rsidRDefault="002A6A3A">
      <w:pPr>
        <w:ind w:left="720"/>
        <w:rPr>
          <w:rFonts w:ascii="Georgia" w:eastAsia="Georgia" w:hAnsi="Georgia" w:cs="Georgia"/>
          <w:color w:val="222222"/>
          <w:highlight w:val="white"/>
          <w:lang w:val="fr-CA"/>
        </w:rPr>
      </w:pPr>
      <w:bookmarkStart w:id="19" w:name="lt_pId017"/>
      <w:r w:rsidRPr="003C041C">
        <w:rPr>
          <w:rFonts w:ascii="Georgia" w:eastAsia="Georgia" w:hAnsi="Georgia" w:cs="Georgia"/>
          <w:color w:val="222222"/>
          <w:lang w:val="fr-CA"/>
        </w:rPr>
        <w:t>L</w:t>
      </w:r>
      <w:r w:rsidR="00021B1C" w:rsidRPr="003C041C">
        <w:rPr>
          <w:rFonts w:ascii="Georgia" w:eastAsia="Georgia" w:hAnsi="Georgia" w:cs="Georgia"/>
          <w:color w:val="222222"/>
          <w:lang w:val="fr-CA"/>
        </w:rPr>
        <w:t xml:space="preserve">es commanditaires </w:t>
      </w:r>
      <w:r w:rsidRPr="003C041C">
        <w:rPr>
          <w:rFonts w:ascii="Georgia" w:eastAsia="Georgia" w:hAnsi="Georgia" w:cs="Georgia"/>
          <w:color w:val="222222"/>
          <w:lang w:val="fr-CA"/>
        </w:rPr>
        <w:t xml:space="preserve">d’une société en commandite </w:t>
      </w:r>
      <w:r w:rsidR="00021B1C" w:rsidRPr="003C041C">
        <w:rPr>
          <w:rFonts w:ascii="Georgia" w:eastAsia="Georgia" w:hAnsi="Georgia" w:cs="Georgia"/>
          <w:color w:val="222222"/>
          <w:lang w:val="fr-CA"/>
        </w:rPr>
        <w:t>partagent chaque année les revenus, les dépenses et les gains en capital de la société en commandite</w:t>
      </w:r>
      <w:r w:rsidRPr="003C041C">
        <w:rPr>
          <w:rFonts w:ascii="Georgia" w:eastAsia="Georgia" w:hAnsi="Georgia" w:cs="Georgia"/>
          <w:color w:val="222222"/>
          <w:lang w:val="fr-CA"/>
        </w:rPr>
        <w:t>, ce qui est reflété sur le feuillet</w:t>
      </w:r>
      <w:r w:rsidR="004D6D8B">
        <w:rPr>
          <w:rFonts w:ascii="Georgia" w:eastAsia="Georgia" w:hAnsi="Georgia" w:cs="Georgia"/>
          <w:color w:val="222222"/>
          <w:lang w:val="fr-CA"/>
        </w:rPr>
        <w:t> </w:t>
      </w:r>
      <w:r w:rsidRPr="003C041C">
        <w:rPr>
          <w:rFonts w:ascii="Georgia" w:eastAsia="Georgia" w:hAnsi="Georgia" w:cs="Georgia"/>
          <w:color w:val="222222"/>
          <w:lang w:val="fr-CA"/>
        </w:rPr>
        <w:t>T5013</w:t>
      </w:r>
      <w:r w:rsidR="00021B1C" w:rsidRPr="003C041C">
        <w:rPr>
          <w:rFonts w:ascii="Georgia" w:eastAsia="Georgia" w:hAnsi="Georgia" w:cs="Georgia"/>
          <w:color w:val="222222"/>
          <w:lang w:val="fr-CA"/>
        </w:rPr>
        <w:t>.</w:t>
      </w:r>
      <w:bookmarkEnd w:id="19"/>
      <w:r w:rsidRPr="003C041C">
        <w:rPr>
          <w:rFonts w:ascii="Georgia" w:eastAsia="Georgia" w:hAnsi="Georgia" w:cs="Georgia"/>
          <w:color w:val="222222"/>
          <w:lang w:val="fr-CA"/>
        </w:rPr>
        <w:t xml:space="preserve"> </w:t>
      </w:r>
      <w:bookmarkStart w:id="20" w:name="lt_pId018"/>
      <w:r w:rsidR="00AE6510" w:rsidRPr="003C041C">
        <w:rPr>
          <w:rFonts w:ascii="Georgia" w:eastAsia="Georgia" w:hAnsi="Georgia" w:cs="Georgia"/>
          <w:color w:val="222222"/>
          <w:lang w:val="fr-CA"/>
        </w:rPr>
        <w:t>Le montant indiqué à la case</w:t>
      </w:r>
      <w:r w:rsidR="004D6D8B">
        <w:rPr>
          <w:rFonts w:ascii="Georgia" w:eastAsia="Georgia" w:hAnsi="Georgia" w:cs="Georgia"/>
          <w:color w:val="222222"/>
          <w:lang w:val="fr-CA"/>
        </w:rPr>
        <w:t> </w:t>
      </w:r>
      <w:r w:rsidR="00AE6510" w:rsidRPr="003C041C">
        <w:rPr>
          <w:rFonts w:ascii="Georgia" w:eastAsia="Georgia" w:hAnsi="Georgia" w:cs="Georgia"/>
          <w:color w:val="222222"/>
          <w:lang w:val="fr-CA"/>
        </w:rPr>
        <w:t xml:space="preserve">104 correspond à la part du revenu de la société en commandite </w:t>
      </w:r>
      <w:r w:rsidR="00B07442" w:rsidRPr="00BB6E71">
        <w:rPr>
          <w:rFonts w:ascii="Georgia" w:eastAsia="Georgia" w:hAnsi="Georgia" w:cs="Georgia"/>
          <w:color w:val="222222"/>
          <w:highlight w:val="white"/>
          <w:lang w:val="fr-CA"/>
        </w:rPr>
        <w:t xml:space="preserve">qui revient au commanditaire </w:t>
      </w:r>
      <w:r w:rsidR="00AE6510" w:rsidRPr="00BB6E71">
        <w:rPr>
          <w:rFonts w:ascii="Georgia" w:eastAsia="Georgia" w:hAnsi="Georgia" w:cs="Georgia"/>
          <w:color w:val="222222"/>
          <w:highlight w:val="white"/>
          <w:lang w:val="fr-CA"/>
        </w:rPr>
        <w:t>pour l’année, après déduction de la DCD de l’année et des pertes réalisées sur certains prêts.</w:t>
      </w:r>
      <w:bookmarkEnd w:id="20"/>
      <w:r w:rsidR="0017346B" w:rsidRPr="00BB6E71">
        <w:rPr>
          <w:rFonts w:ascii="Georgia" w:eastAsia="Georgia" w:hAnsi="Georgia" w:cs="Georgia"/>
          <w:color w:val="222222"/>
          <w:highlight w:val="white"/>
          <w:lang w:val="fr-CA"/>
        </w:rPr>
        <w:t xml:space="preserve"> </w:t>
      </w:r>
    </w:p>
    <w:p w14:paraId="1AB9B10C" w14:textId="77777777" w:rsidR="00002E03" w:rsidRPr="00BB6E71" w:rsidRDefault="00002E03">
      <w:pPr>
        <w:ind w:left="720"/>
        <w:rPr>
          <w:rFonts w:ascii="Georgia" w:eastAsia="Georgia" w:hAnsi="Georgia" w:cs="Georgia"/>
          <w:color w:val="222222"/>
          <w:highlight w:val="white"/>
          <w:lang w:val="fr-CA"/>
        </w:rPr>
      </w:pPr>
    </w:p>
    <w:p w14:paraId="60C9D347" w14:textId="13A41D08" w:rsidR="00002E03" w:rsidRPr="00BB6E71" w:rsidRDefault="000A099E">
      <w:pPr>
        <w:ind w:left="720"/>
        <w:rPr>
          <w:rFonts w:ascii="Georgia" w:eastAsia="Georgia" w:hAnsi="Georgia" w:cs="Georgia"/>
          <w:color w:val="222222"/>
          <w:highlight w:val="white"/>
          <w:lang w:val="fr-CA"/>
        </w:rPr>
      </w:pPr>
      <w:bookmarkStart w:id="21" w:name="lt_pId019"/>
      <w:r w:rsidRPr="00BB6E71">
        <w:rPr>
          <w:rFonts w:ascii="Georgia" w:eastAsia="Georgia" w:hAnsi="Georgia" w:cs="Georgia"/>
          <w:color w:val="222222"/>
          <w:highlight w:val="white"/>
          <w:lang w:val="fr-CA"/>
        </w:rPr>
        <w:t>Le séquestre n’a inclus dans le revenu de 2022 que les intérêts et le montant des frais qui ont effectivement été prélevés ou qui devraient l’être dans l’avenir.</w:t>
      </w:r>
      <w:bookmarkEnd w:id="21"/>
      <w:r w:rsidR="0017346B" w:rsidRPr="00BB6E71">
        <w:rPr>
          <w:rFonts w:ascii="Georgia" w:eastAsia="Georgia" w:hAnsi="Georgia" w:cs="Georgia"/>
          <w:color w:val="222222"/>
          <w:highlight w:val="white"/>
          <w:lang w:val="fr-CA"/>
        </w:rPr>
        <w:t xml:space="preserve"> </w:t>
      </w:r>
      <w:bookmarkStart w:id="22" w:name="lt_pId020"/>
      <w:r w:rsidR="00887F1A" w:rsidRPr="00BB6E71">
        <w:rPr>
          <w:rFonts w:ascii="Georgia" w:eastAsia="Georgia" w:hAnsi="Georgia" w:cs="Georgia"/>
          <w:color w:val="222222"/>
          <w:highlight w:val="white"/>
          <w:lang w:val="fr-CA"/>
        </w:rPr>
        <w:t>Si le montant de la case 104 est négatif, cela indique que le montant de la DCD et des pertes sur prêt réalisées était plus élevé que le revenu pour l’année visée.</w:t>
      </w:r>
      <w:bookmarkEnd w:id="22"/>
    </w:p>
    <w:p w14:paraId="39BB344B" w14:textId="77777777" w:rsidR="00002E03" w:rsidRPr="00BB6E71" w:rsidRDefault="00002E03">
      <w:pPr>
        <w:ind w:left="720"/>
        <w:rPr>
          <w:rFonts w:ascii="Georgia" w:eastAsia="Georgia" w:hAnsi="Georgia" w:cs="Georgia"/>
          <w:color w:val="222222"/>
          <w:highlight w:val="white"/>
          <w:lang w:val="fr-CA"/>
        </w:rPr>
      </w:pPr>
    </w:p>
    <w:p w14:paraId="5DD1F17E" w14:textId="67774631" w:rsidR="00002E03" w:rsidRPr="00BB6E71" w:rsidRDefault="005770DE">
      <w:pPr>
        <w:numPr>
          <w:ilvl w:val="0"/>
          <w:numId w:val="1"/>
        </w:numPr>
        <w:rPr>
          <w:rFonts w:ascii="Georgia" w:eastAsia="Georgia" w:hAnsi="Georgia" w:cs="Georgia"/>
          <w:b/>
          <w:lang w:val="fr-CA"/>
        </w:rPr>
      </w:pPr>
      <w:bookmarkStart w:id="23" w:name="lt_pId021"/>
      <w:r w:rsidRPr="00BB6E71">
        <w:rPr>
          <w:rFonts w:ascii="Georgia" w:eastAsia="Georgia" w:hAnsi="Georgia" w:cs="Georgia"/>
          <w:b/>
          <w:lang w:val="fr-CA"/>
        </w:rPr>
        <w:t>Si la DCD est prise en compte dans la case</w:t>
      </w:r>
      <w:r w:rsidR="004D6D8B">
        <w:rPr>
          <w:rFonts w:ascii="Georgia" w:eastAsia="Georgia" w:hAnsi="Georgia" w:cs="Georgia"/>
          <w:b/>
          <w:lang w:val="fr-CA"/>
        </w:rPr>
        <w:t> </w:t>
      </w:r>
      <w:r w:rsidRPr="00BB6E71">
        <w:rPr>
          <w:rFonts w:ascii="Georgia" w:eastAsia="Georgia" w:hAnsi="Georgia" w:cs="Georgia"/>
          <w:b/>
          <w:lang w:val="fr-CA"/>
        </w:rPr>
        <w:t>104, pourquoi un montant est-il indiqué à la case</w:t>
      </w:r>
      <w:r w:rsidR="004D6D8B">
        <w:rPr>
          <w:rFonts w:ascii="Georgia" w:eastAsia="Georgia" w:hAnsi="Georgia" w:cs="Georgia"/>
          <w:b/>
          <w:lang w:val="fr-CA"/>
        </w:rPr>
        <w:t> </w:t>
      </w:r>
      <w:r w:rsidRPr="00BB6E71">
        <w:rPr>
          <w:rFonts w:ascii="Georgia" w:eastAsia="Georgia" w:hAnsi="Georgia" w:cs="Georgia"/>
          <w:b/>
          <w:lang w:val="fr-CA"/>
        </w:rPr>
        <w:t>210?</w:t>
      </w:r>
      <w:bookmarkEnd w:id="23"/>
    </w:p>
    <w:p w14:paraId="5A2A5D37" w14:textId="77777777" w:rsidR="00002E03" w:rsidRPr="00BB6E71" w:rsidRDefault="00002E03">
      <w:pPr>
        <w:ind w:left="720"/>
        <w:rPr>
          <w:rFonts w:ascii="Georgia" w:eastAsia="Georgia" w:hAnsi="Georgia" w:cs="Georgia"/>
          <w:color w:val="222222"/>
          <w:sz w:val="20"/>
          <w:szCs w:val="20"/>
          <w:highlight w:val="white"/>
          <w:lang w:val="fr-CA"/>
        </w:rPr>
      </w:pPr>
    </w:p>
    <w:p w14:paraId="2646FD25" w14:textId="20229EBE" w:rsidR="00002E03" w:rsidRPr="00BB6E71" w:rsidRDefault="00B07442">
      <w:pPr>
        <w:ind w:left="720"/>
        <w:rPr>
          <w:rFonts w:ascii="Georgia" w:eastAsia="Georgia" w:hAnsi="Georgia" w:cs="Georgia"/>
          <w:color w:val="222222"/>
          <w:highlight w:val="white"/>
          <w:lang w:val="fr-CA"/>
        </w:rPr>
      </w:pPr>
      <w:bookmarkStart w:id="24" w:name="lt_pId022"/>
      <w:r w:rsidRPr="003C041C">
        <w:rPr>
          <w:rFonts w:ascii="Georgia" w:eastAsia="Georgia" w:hAnsi="Georgia" w:cs="Georgia"/>
          <w:color w:val="222222"/>
          <w:lang w:val="fr-CA"/>
        </w:rPr>
        <w:t>Les commanditaires d’une société en commandite partagent chaque année les revenus, les dépenses et les gains en capital de la société en commandite, ce qui est reflété sur le feuillet</w:t>
      </w:r>
      <w:r w:rsidR="004D6D8B">
        <w:rPr>
          <w:rFonts w:ascii="Georgia" w:eastAsia="Georgia" w:hAnsi="Georgia" w:cs="Georgia"/>
          <w:color w:val="222222"/>
          <w:lang w:val="fr-CA"/>
        </w:rPr>
        <w:t> </w:t>
      </w:r>
      <w:r w:rsidRPr="003C041C">
        <w:rPr>
          <w:rFonts w:ascii="Georgia" w:eastAsia="Georgia" w:hAnsi="Georgia" w:cs="Georgia"/>
          <w:color w:val="222222"/>
          <w:lang w:val="fr-CA"/>
        </w:rPr>
        <w:t>T5013</w:t>
      </w:r>
      <w:r w:rsidR="003D4A9B" w:rsidRPr="003C041C">
        <w:rPr>
          <w:rFonts w:ascii="Georgia" w:eastAsia="Georgia" w:hAnsi="Georgia" w:cs="Georgia"/>
          <w:color w:val="222222"/>
          <w:lang w:val="fr-CA"/>
        </w:rPr>
        <w:t>.</w:t>
      </w:r>
      <w:bookmarkEnd w:id="24"/>
      <w:r w:rsidRPr="003C041C">
        <w:rPr>
          <w:rFonts w:ascii="Georgia" w:eastAsia="Georgia" w:hAnsi="Georgia" w:cs="Georgia"/>
          <w:color w:val="222222"/>
          <w:lang w:val="fr-CA"/>
        </w:rPr>
        <w:t xml:space="preserve"> </w:t>
      </w:r>
      <w:bookmarkStart w:id="25" w:name="lt_pId023"/>
      <w:r w:rsidR="001A2C06" w:rsidRPr="003C041C">
        <w:rPr>
          <w:rFonts w:ascii="Georgia" w:eastAsia="Georgia" w:hAnsi="Georgia" w:cs="Georgia"/>
          <w:color w:val="222222"/>
          <w:lang w:val="fr-CA"/>
        </w:rPr>
        <w:t xml:space="preserve">Le montant </w:t>
      </w:r>
      <w:r w:rsidR="001A2C06" w:rsidRPr="00BB6E71">
        <w:rPr>
          <w:rFonts w:ascii="Georgia" w:eastAsia="Georgia" w:hAnsi="Georgia" w:cs="Georgia"/>
          <w:color w:val="222222"/>
          <w:highlight w:val="white"/>
          <w:lang w:val="fr-CA"/>
        </w:rPr>
        <w:t>figurant à la case</w:t>
      </w:r>
      <w:r w:rsidR="004D6D8B">
        <w:rPr>
          <w:rFonts w:ascii="Georgia" w:eastAsia="Georgia" w:hAnsi="Georgia" w:cs="Georgia"/>
          <w:color w:val="222222"/>
          <w:highlight w:val="white"/>
          <w:lang w:val="fr-CA"/>
        </w:rPr>
        <w:t> </w:t>
      </w:r>
      <w:r w:rsidR="001A2C06" w:rsidRPr="00BB6E71">
        <w:rPr>
          <w:rFonts w:ascii="Georgia" w:eastAsia="Georgia" w:hAnsi="Georgia" w:cs="Georgia"/>
          <w:color w:val="222222"/>
          <w:highlight w:val="white"/>
          <w:lang w:val="fr-CA"/>
        </w:rPr>
        <w:t xml:space="preserve">210 correspond aux dépenses </w:t>
      </w:r>
      <w:r w:rsidR="001B4A2C">
        <w:rPr>
          <w:rFonts w:ascii="Georgia" w:eastAsia="Georgia" w:hAnsi="Georgia" w:cs="Georgia"/>
          <w:color w:val="222222"/>
          <w:highlight w:val="white"/>
          <w:lang w:val="fr-CA"/>
        </w:rPr>
        <w:t xml:space="preserve">pertinentes </w:t>
      </w:r>
      <w:r w:rsidR="001A2C06" w:rsidRPr="00BB6E71">
        <w:rPr>
          <w:rFonts w:ascii="Georgia" w:eastAsia="Georgia" w:hAnsi="Georgia" w:cs="Georgia"/>
          <w:color w:val="222222"/>
          <w:highlight w:val="white"/>
          <w:lang w:val="fr-CA"/>
        </w:rPr>
        <w:t>engagées par le fonds en 2022 (à l’exclusion de la DCD).</w:t>
      </w:r>
      <w:bookmarkEnd w:id="25"/>
      <w:r w:rsidRPr="00BB6E71">
        <w:rPr>
          <w:rFonts w:ascii="Georgia" w:eastAsia="Georgia" w:hAnsi="Georgia" w:cs="Georgia"/>
          <w:color w:val="222222"/>
          <w:highlight w:val="white"/>
          <w:lang w:val="fr-CA"/>
        </w:rPr>
        <w:t xml:space="preserve"> </w:t>
      </w:r>
      <w:bookmarkStart w:id="26" w:name="lt_pId024"/>
      <w:r w:rsidR="00EB0914" w:rsidRPr="00BB6E71">
        <w:rPr>
          <w:rFonts w:ascii="Georgia" w:eastAsia="Georgia" w:hAnsi="Georgia" w:cs="Georgia"/>
          <w:color w:val="222222"/>
          <w:highlight w:val="white"/>
          <w:lang w:val="fr-CA"/>
        </w:rPr>
        <w:t xml:space="preserve">Les </w:t>
      </w:r>
      <w:r w:rsidR="004408EA" w:rsidRPr="00BB6E71">
        <w:rPr>
          <w:rFonts w:ascii="Georgia" w:eastAsia="Georgia" w:hAnsi="Georgia" w:cs="Georgia"/>
          <w:color w:val="222222"/>
          <w:highlight w:val="white"/>
          <w:lang w:val="fr-CA"/>
        </w:rPr>
        <w:t>porteurs de parts</w:t>
      </w:r>
      <w:r w:rsidR="00EB0914" w:rsidRPr="00BB6E71">
        <w:rPr>
          <w:rFonts w:ascii="Georgia" w:eastAsia="Georgia" w:hAnsi="Georgia" w:cs="Georgia"/>
          <w:color w:val="222222"/>
          <w:highlight w:val="white"/>
          <w:lang w:val="fr-CA"/>
        </w:rPr>
        <w:t xml:space="preserve"> doivent s’assurer que le montant de la case</w:t>
      </w:r>
      <w:r w:rsidR="004D6D8B">
        <w:rPr>
          <w:rFonts w:ascii="Georgia" w:eastAsia="Georgia" w:hAnsi="Georgia" w:cs="Georgia"/>
          <w:color w:val="222222"/>
          <w:highlight w:val="white"/>
          <w:lang w:val="fr-CA"/>
        </w:rPr>
        <w:t> </w:t>
      </w:r>
      <w:r w:rsidR="00EB0914" w:rsidRPr="00BB6E71">
        <w:rPr>
          <w:rFonts w:ascii="Georgia" w:eastAsia="Georgia" w:hAnsi="Georgia" w:cs="Georgia"/>
          <w:color w:val="222222"/>
          <w:highlight w:val="white"/>
          <w:lang w:val="fr-CA"/>
        </w:rPr>
        <w:t>210 est inclus à titre de dépense dans leur déclaration de revenus.</w:t>
      </w:r>
      <w:bookmarkEnd w:id="26"/>
    </w:p>
    <w:p w14:paraId="0C6A3914" w14:textId="77777777" w:rsidR="00002E03" w:rsidRPr="00BB6E71" w:rsidRDefault="00A72C81">
      <w:pPr>
        <w:ind w:left="720"/>
        <w:rPr>
          <w:rFonts w:ascii="Georgia" w:eastAsia="Georgia" w:hAnsi="Georgia" w:cs="Georgia"/>
          <w:color w:val="222222"/>
          <w:sz w:val="20"/>
          <w:szCs w:val="20"/>
          <w:highlight w:val="white"/>
          <w:lang w:val="fr-CA"/>
        </w:rPr>
      </w:pPr>
      <w:r w:rsidRPr="00BB6E71">
        <w:rPr>
          <w:rFonts w:ascii="Georgia" w:eastAsia="Georgia" w:hAnsi="Georgia" w:cs="Georgia"/>
          <w:color w:val="222222"/>
          <w:highlight w:val="white"/>
          <w:lang w:val="fr-CA"/>
        </w:rPr>
        <w:t xml:space="preserve"> </w:t>
      </w:r>
    </w:p>
    <w:p w14:paraId="621C766D" w14:textId="6687D93F" w:rsidR="00002E03" w:rsidRPr="00BB6E71" w:rsidRDefault="0088405B">
      <w:pPr>
        <w:numPr>
          <w:ilvl w:val="0"/>
          <w:numId w:val="1"/>
        </w:numPr>
        <w:rPr>
          <w:rFonts w:ascii="Georgia" w:eastAsia="Georgia" w:hAnsi="Georgia" w:cs="Georgia"/>
          <w:b/>
          <w:lang w:val="fr-CA"/>
        </w:rPr>
      </w:pPr>
      <w:bookmarkStart w:id="27" w:name="lt_pId025"/>
      <w:r w:rsidRPr="00BB6E71">
        <w:rPr>
          <w:rFonts w:ascii="Georgia" w:eastAsia="Georgia" w:hAnsi="Georgia" w:cs="Georgia"/>
          <w:b/>
          <w:lang w:val="fr-CA"/>
        </w:rPr>
        <w:t xml:space="preserve">Est-il possible de modifier le nom d’un </w:t>
      </w:r>
      <w:r w:rsidR="004408EA" w:rsidRPr="00BB6E71">
        <w:rPr>
          <w:rFonts w:ascii="Georgia" w:eastAsia="Georgia" w:hAnsi="Georgia" w:cs="Georgia"/>
          <w:b/>
          <w:lang w:val="fr-CA"/>
        </w:rPr>
        <w:t>porteur de parts</w:t>
      </w:r>
      <w:r w:rsidRPr="00BB6E71">
        <w:rPr>
          <w:rFonts w:ascii="Georgia" w:eastAsia="Georgia" w:hAnsi="Georgia" w:cs="Georgia"/>
          <w:b/>
          <w:lang w:val="fr-CA"/>
        </w:rPr>
        <w:t xml:space="preserve"> sur un </w:t>
      </w:r>
      <w:r w:rsidR="00AC3F39" w:rsidRPr="00BB6E71">
        <w:rPr>
          <w:rFonts w:ascii="Georgia" w:eastAsia="Georgia" w:hAnsi="Georgia" w:cs="Georgia"/>
          <w:b/>
          <w:lang w:val="fr-CA"/>
        </w:rPr>
        <w:t>feuillet</w:t>
      </w:r>
      <w:r w:rsidRPr="00BB6E71">
        <w:rPr>
          <w:rFonts w:ascii="Georgia" w:eastAsia="Georgia" w:hAnsi="Georgia" w:cs="Georgia"/>
          <w:b/>
          <w:lang w:val="fr-CA"/>
        </w:rPr>
        <w:t xml:space="preserve"> d’impôt déjà produit?</w:t>
      </w:r>
      <w:bookmarkEnd w:id="27"/>
    </w:p>
    <w:p w14:paraId="78F81C58" w14:textId="77777777" w:rsidR="00002E03" w:rsidRPr="00BB6E71" w:rsidRDefault="00002E03">
      <w:pPr>
        <w:rPr>
          <w:rFonts w:ascii="Georgia" w:eastAsia="Georgia" w:hAnsi="Georgia" w:cs="Georgia"/>
          <w:b/>
          <w:lang w:val="fr-CA"/>
        </w:rPr>
      </w:pPr>
    </w:p>
    <w:p w14:paraId="6164599F" w14:textId="750D1A57" w:rsidR="00002E03" w:rsidRPr="00BB6E71" w:rsidRDefault="00592D2A">
      <w:pPr>
        <w:ind w:left="720"/>
        <w:rPr>
          <w:rFonts w:ascii="Georgia" w:eastAsia="Georgia" w:hAnsi="Georgia" w:cs="Georgia"/>
          <w:lang w:val="fr-CA"/>
        </w:rPr>
      </w:pPr>
      <w:bookmarkStart w:id="28" w:name="lt_pId026"/>
      <w:r w:rsidRPr="00BB6E71">
        <w:rPr>
          <w:rFonts w:ascii="Georgia" w:eastAsia="Georgia" w:hAnsi="Georgia" w:cs="Georgia"/>
          <w:lang w:val="fr-CA"/>
        </w:rPr>
        <w:t xml:space="preserve">Les </w:t>
      </w:r>
      <w:r w:rsidR="00BE13D5" w:rsidRPr="00BB6E71">
        <w:rPr>
          <w:rFonts w:ascii="Georgia" w:eastAsia="Georgia" w:hAnsi="Georgia" w:cs="Georgia"/>
          <w:lang w:val="fr-CA"/>
        </w:rPr>
        <w:t>f</w:t>
      </w:r>
      <w:r w:rsidRPr="00BB6E71">
        <w:rPr>
          <w:rFonts w:ascii="Georgia" w:eastAsia="Georgia" w:hAnsi="Georgia" w:cs="Georgia"/>
          <w:lang w:val="fr-CA"/>
        </w:rPr>
        <w:t>onds Bridging sont toujours visés par une interdiction d’opérations ordonnée par la Commission des valeurs mobilières de l’Ontario.</w:t>
      </w:r>
      <w:bookmarkEnd w:id="28"/>
      <w:r w:rsidRPr="00BB6E71">
        <w:rPr>
          <w:rFonts w:ascii="Georgia" w:eastAsia="Georgia" w:hAnsi="Georgia" w:cs="Georgia"/>
          <w:lang w:val="fr-CA"/>
        </w:rPr>
        <w:t xml:space="preserve"> </w:t>
      </w:r>
      <w:bookmarkStart w:id="29" w:name="lt_pId027"/>
      <w:r w:rsidR="009A31D9" w:rsidRPr="00BB6E71">
        <w:rPr>
          <w:rFonts w:ascii="Georgia" w:eastAsia="Georgia" w:hAnsi="Georgia" w:cs="Georgia"/>
          <w:lang w:val="fr-CA"/>
        </w:rPr>
        <w:t>Cette interdiction d’opérations est entrée en vigueur le 30</w:t>
      </w:r>
      <w:r w:rsidR="004D6D8B">
        <w:rPr>
          <w:rFonts w:ascii="Georgia" w:eastAsia="Georgia" w:hAnsi="Georgia" w:cs="Georgia"/>
          <w:lang w:val="fr-CA"/>
        </w:rPr>
        <w:t> </w:t>
      </w:r>
      <w:r w:rsidR="009A31D9" w:rsidRPr="00BB6E71">
        <w:rPr>
          <w:rFonts w:ascii="Georgia" w:eastAsia="Georgia" w:hAnsi="Georgia" w:cs="Georgia"/>
          <w:lang w:val="fr-CA"/>
        </w:rPr>
        <w:t>avril 2021 et a récemment été prolongée, en date du 28</w:t>
      </w:r>
      <w:r w:rsidR="004D6D8B">
        <w:rPr>
          <w:rFonts w:ascii="Georgia" w:eastAsia="Georgia" w:hAnsi="Georgia" w:cs="Georgia"/>
          <w:lang w:val="fr-CA"/>
        </w:rPr>
        <w:t> </w:t>
      </w:r>
      <w:r w:rsidR="009A31D9" w:rsidRPr="00BB6E71">
        <w:rPr>
          <w:rFonts w:ascii="Georgia" w:eastAsia="Georgia" w:hAnsi="Georgia" w:cs="Georgia"/>
          <w:lang w:val="fr-CA"/>
        </w:rPr>
        <w:t>mars 2023, de manière à demeurer en vigueur 30</w:t>
      </w:r>
      <w:r w:rsidR="004D6D8B">
        <w:rPr>
          <w:rFonts w:ascii="Georgia" w:eastAsia="Georgia" w:hAnsi="Georgia" w:cs="Georgia"/>
          <w:lang w:val="fr-CA"/>
        </w:rPr>
        <w:t> </w:t>
      </w:r>
      <w:r w:rsidR="009A31D9" w:rsidRPr="00BB6E71">
        <w:rPr>
          <w:rFonts w:ascii="Georgia" w:eastAsia="Georgia" w:hAnsi="Georgia" w:cs="Georgia"/>
          <w:lang w:val="fr-CA"/>
        </w:rPr>
        <w:t>jours après que la Commission des valeurs mobilières de l’Ontario aura rendu une décision à l’égard des procédures de mise à exécution liée</w:t>
      </w:r>
      <w:r w:rsidR="00BE13D5" w:rsidRPr="00BB6E71">
        <w:rPr>
          <w:rFonts w:ascii="Georgia" w:eastAsia="Georgia" w:hAnsi="Georgia" w:cs="Georgia"/>
          <w:lang w:val="fr-CA"/>
        </w:rPr>
        <w:t>s</w:t>
      </w:r>
      <w:r w:rsidR="009A31D9" w:rsidRPr="00BB6E71">
        <w:rPr>
          <w:rFonts w:ascii="Georgia" w:eastAsia="Georgia" w:hAnsi="Georgia" w:cs="Georgia"/>
          <w:lang w:val="fr-CA"/>
        </w:rPr>
        <w:t xml:space="preserve"> à Bridging Finance.</w:t>
      </w:r>
      <w:bookmarkEnd w:id="29"/>
      <w:r w:rsidRPr="00BB6E71">
        <w:rPr>
          <w:rFonts w:ascii="Georgia" w:eastAsia="Georgia" w:hAnsi="Georgia" w:cs="Georgia"/>
          <w:lang w:val="fr-CA"/>
        </w:rPr>
        <w:t xml:space="preserve"> </w:t>
      </w:r>
      <w:bookmarkStart w:id="30" w:name="lt_pId028"/>
      <w:r w:rsidR="006D6733" w:rsidRPr="00BB6E71">
        <w:rPr>
          <w:rFonts w:ascii="Georgia" w:eastAsia="Georgia" w:hAnsi="Georgia" w:cs="Georgia"/>
          <w:lang w:val="fr-CA"/>
        </w:rPr>
        <w:t xml:space="preserve">Les seuls transferts permis en vertu de l’interdiction d’opérations sont les transferts touchant des REER ou des FERR (dans l’année au cours de laquelle le </w:t>
      </w:r>
      <w:r w:rsidR="004408EA" w:rsidRPr="00BB6E71">
        <w:rPr>
          <w:rFonts w:ascii="Georgia" w:eastAsia="Georgia" w:hAnsi="Georgia" w:cs="Georgia"/>
          <w:lang w:val="fr-CA"/>
        </w:rPr>
        <w:t>porteur de parts</w:t>
      </w:r>
      <w:r w:rsidR="006D6733" w:rsidRPr="00BB6E71">
        <w:rPr>
          <w:rFonts w:ascii="Georgia" w:eastAsia="Georgia" w:hAnsi="Georgia" w:cs="Georgia"/>
          <w:lang w:val="fr-CA"/>
        </w:rPr>
        <w:t xml:space="preserve"> atteint l’âge de 71</w:t>
      </w:r>
      <w:r w:rsidR="004D6D8B">
        <w:rPr>
          <w:rFonts w:ascii="Georgia" w:eastAsia="Georgia" w:hAnsi="Georgia" w:cs="Georgia"/>
          <w:lang w:val="fr-CA"/>
        </w:rPr>
        <w:t> </w:t>
      </w:r>
      <w:r w:rsidR="006D6733" w:rsidRPr="00BB6E71">
        <w:rPr>
          <w:rFonts w:ascii="Georgia" w:eastAsia="Georgia" w:hAnsi="Georgia" w:cs="Georgia"/>
          <w:lang w:val="fr-CA"/>
        </w:rPr>
        <w:t>ans) et les transferts de</w:t>
      </w:r>
      <w:r w:rsidR="00BE13D5" w:rsidRPr="00BB6E71">
        <w:rPr>
          <w:rFonts w:ascii="Georgia" w:eastAsia="Georgia" w:hAnsi="Georgia" w:cs="Georgia"/>
          <w:lang w:val="fr-CA"/>
        </w:rPr>
        <w:t>s</w:t>
      </w:r>
      <w:r w:rsidR="006D6733" w:rsidRPr="00BB6E71">
        <w:rPr>
          <w:rFonts w:ascii="Georgia" w:eastAsia="Georgia" w:hAnsi="Georgia" w:cs="Georgia"/>
          <w:lang w:val="fr-CA"/>
        </w:rPr>
        <w:t xml:space="preserve"> parts d’un </w:t>
      </w:r>
      <w:r w:rsidR="004408EA" w:rsidRPr="00BB6E71">
        <w:rPr>
          <w:rFonts w:ascii="Georgia" w:eastAsia="Georgia" w:hAnsi="Georgia" w:cs="Georgia"/>
          <w:lang w:val="fr-CA"/>
        </w:rPr>
        <w:t>porteur de parts</w:t>
      </w:r>
      <w:r w:rsidR="006D6733" w:rsidRPr="00BB6E71">
        <w:rPr>
          <w:rFonts w:ascii="Georgia" w:eastAsia="Georgia" w:hAnsi="Georgia" w:cs="Georgia"/>
          <w:lang w:val="fr-CA"/>
        </w:rPr>
        <w:t xml:space="preserve"> décédé (s’il s’agit d’une personne physique).</w:t>
      </w:r>
      <w:bookmarkEnd w:id="30"/>
      <w:r w:rsidRPr="00BB6E71">
        <w:rPr>
          <w:rFonts w:ascii="Georgia" w:eastAsia="Georgia" w:hAnsi="Georgia" w:cs="Georgia"/>
          <w:lang w:val="fr-CA"/>
        </w:rPr>
        <w:t xml:space="preserve"> </w:t>
      </w:r>
    </w:p>
    <w:p w14:paraId="61CF1A20" w14:textId="77777777" w:rsidR="00002E03" w:rsidRPr="00BB6E71" w:rsidRDefault="00002E03">
      <w:pPr>
        <w:ind w:left="720"/>
        <w:rPr>
          <w:rFonts w:ascii="Georgia" w:eastAsia="Georgia" w:hAnsi="Georgia" w:cs="Georgia"/>
          <w:lang w:val="fr-CA"/>
        </w:rPr>
      </w:pPr>
    </w:p>
    <w:p w14:paraId="612A3702" w14:textId="29C8BC4B" w:rsidR="00002E03" w:rsidRPr="00BB6E71" w:rsidRDefault="00313AFD">
      <w:pPr>
        <w:ind w:left="720"/>
        <w:rPr>
          <w:rFonts w:ascii="Georgia" w:eastAsia="Georgia" w:hAnsi="Georgia" w:cs="Georgia"/>
          <w:lang w:val="fr-CA"/>
        </w:rPr>
      </w:pPr>
      <w:bookmarkStart w:id="31" w:name="lt_pId029"/>
      <w:r w:rsidRPr="00BB6E71">
        <w:rPr>
          <w:rFonts w:ascii="Georgia" w:eastAsia="Georgia" w:hAnsi="Georgia" w:cs="Georgia"/>
          <w:lang w:val="fr-CA"/>
        </w:rPr>
        <w:lastRenderedPageBreak/>
        <w:t xml:space="preserve">Tous les autres transferts, y compris les transferts non financiers, </w:t>
      </w:r>
      <w:r w:rsidR="004B5371">
        <w:rPr>
          <w:rFonts w:ascii="Georgia" w:eastAsia="Georgia" w:hAnsi="Georgia" w:cs="Georgia"/>
          <w:lang w:val="fr-CA"/>
        </w:rPr>
        <w:t>sont</w:t>
      </w:r>
      <w:r w:rsidRPr="00BB6E71">
        <w:rPr>
          <w:rFonts w:ascii="Georgia" w:eastAsia="Georgia" w:hAnsi="Georgia" w:cs="Georgia"/>
          <w:lang w:val="fr-CA"/>
        </w:rPr>
        <w:t xml:space="preserve"> actuellement interdits en vertu de l’interdiction d’opérations.</w:t>
      </w:r>
      <w:bookmarkEnd w:id="31"/>
      <w:r w:rsidRPr="00BB6E71">
        <w:rPr>
          <w:rFonts w:ascii="Georgia" w:eastAsia="Georgia" w:hAnsi="Georgia" w:cs="Georgia"/>
          <w:lang w:val="fr-CA"/>
        </w:rPr>
        <w:t xml:space="preserve"> </w:t>
      </w:r>
      <w:bookmarkStart w:id="32" w:name="lt_pId030"/>
      <w:r w:rsidR="00612E85" w:rsidRPr="00BB6E71">
        <w:rPr>
          <w:rFonts w:ascii="Georgia" w:eastAsia="Georgia" w:hAnsi="Georgia" w:cs="Georgia"/>
          <w:lang w:val="fr-CA"/>
        </w:rPr>
        <w:t xml:space="preserve">Si vous avez besoin d’un </w:t>
      </w:r>
      <w:r w:rsidR="00AC3F39" w:rsidRPr="00BB6E71">
        <w:rPr>
          <w:rFonts w:ascii="Georgia" w:eastAsia="Georgia" w:hAnsi="Georgia" w:cs="Georgia"/>
          <w:lang w:val="fr-CA"/>
        </w:rPr>
        <w:t>feuillet</w:t>
      </w:r>
      <w:r w:rsidR="00612E85" w:rsidRPr="00BB6E71">
        <w:rPr>
          <w:rFonts w:ascii="Georgia" w:eastAsia="Georgia" w:hAnsi="Georgia" w:cs="Georgia"/>
          <w:lang w:val="fr-CA"/>
        </w:rPr>
        <w:t xml:space="preserve"> d’impôt révisé parce que vous avez réalisé un transfert interdit </w:t>
      </w:r>
      <w:r w:rsidR="00145E97" w:rsidRPr="00BB6E71">
        <w:rPr>
          <w:rFonts w:ascii="Georgia" w:eastAsia="Georgia" w:hAnsi="Georgia" w:cs="Georgia"/>
          <w:lang w:val="fr-CA"/>
        </w:rPr>
        <w:t>de parts</w:t>
      </w:r>
      <w:r w:rsidR="00612E85" w:rsidRPr="00BB6E71">
        <w:rPr>
          <w:rFonts w:ascii="Georgia" w:eastAsia="Georgia" w:hAnsi="Georgia" w:cs="Georgia"/>
          <w:lang w:val="fr-CA"/>
        </w:rPr>
        <w:t xml:space="preserve"> de fonds Bridging au cours de l’année, le séquestre n’est pas en mesure de vous aider pour l’instant.</w:t>
      </w:r>
      <w:bookmarkEnd w:id="32"/>
      <w:r w:rsidR="0017346B" w:rsidRPr="00BB6E71">
        <w:rPr>
          <w:rFonts w:ascii="Georgia" w:eastAsia="Georgia" w:hAnsi="Georgia" w:cs="Georgia"/>
          <w:lang w:val="fr-CA"/>
        </w:rPr>
        <w:t xml:space="preserve"> </w:t>
      </w:r>
    </w:p>
    <w:p w14:paraId="2B8D2B75" w14:textId="77777777" w:rsidR="00002E03" w:rsidRPr="00BB6E71" w:rsidRDefault="00002E03">
      <w:pPr>
        <w:ind w:left="720"/>
        <w:rPr>
          <w:rFonts w:ascii="Georgia" w:eastAsia="Georgia" w:hAnsi="Georgia" w:cs="Georgia"/>
          <w:lang w:val="fr-CA"/>
        </w:rPr>
      </w:pPr>
    </w:p>
    <w:p w14:paraId="61C8F846" w14:textId="584AEF9C" w:rsidR="00002E03" w:rsidRPr="00BB6E71" w:rsidRDefault="00D820EA">
      <w:pPr>
        <w:ind w:left="720"/>
        <w:rPr>
          <w:rFonts w:ascii="Georgia" w:eastAsia="Georgia" w:hAnsi="Georgia" w:cs="Georgia"/>
          <w:lang w:val="fr-CA"/>
        </w:rPr>
      </w:pPr>
      <w:bookmarkStart w:id="33" w:name="lt_pId031"/>
      <w:r w:rsidRPr="00BB6E71">
        <w:rPr>
          <w:rFonts w:ascii="Georgia" w:eastAsia="Georgia" w:hAnsi="Georgia" w:cs="Georgia"/>
          <w:lang w:val="fr-CA"/>
        </w:rPr>
        <w:t xml:space="preserve">Si vous avez réalisé un transfert permis en vertu de l’interdiction d’opérations et avez besoin d’un </w:t>
      </w:r>
      <w:r w:rsidR="00AC3F39" w:rsidRPr="00BB6E71">
        <w:rPr>
          <w:rFonts w:ascii="Georgia" w:eastAsia="Georgia" w:hAnsi="Georgia" w:cs="Georgia"/>
          <w:lang w:val="fr-CA"/>
        </w:rPr>
        <w:t>feuillet</w:t>
      </w:r>
      <w:r w:rsidRPr="00BB6E71">
        <w:rPr>
          <w:rFonts w:ascii="Georgia" w:eastAsia="Georgia" w:hAnsi="Georgia" w:cs="Georgia"/>
          <w:lang w:val="fr-CA"/>
        </w:rPr>
        <w:t xml:space="preserve"> révisé, veuillez communiquer avec le séquestre par téléphone ou </w:t>
      </w:r>
      <w:r w:rsidR="00BE13D5" w:rsidRPr="00BB6E71">
        <w:rPr>
          <w:rFonts w:ascii="Georgia" w:eastAsia="Georgia" w:hAnsi="Georgia" w:cs="Georgia"/>
          <w:lang w:val="fr-CA"/>
        </w:rPr>
        <w:t xml:space="preserve">par </w:t>
      </w:r>
      <w:r w:rsidRPr="00BB6E71">
        <w:rPr>
          <w:rFonts w:ascii="Georgia" w:eastAsia="Georgia" w:hAnsi="Georgia" w:cs="Georgia"/>
          <w:lang w:val="fr-CA"/>
        </w:rPr>
        <w:t>courriel.</w:t>
      </w:r>
      <w:r w:rsidR="0017346B" w:rsidRPr="00BB6E71">
        <w:rPr>
          <w:rFonts w:ascii="Georgia" w:eastAsia="Georgia" w:hAnsi="Georgia" w:cs="Georgia"/>
          <w:lang w:val="fr-CA"/>
        </w:rPr>
        <w:t xml:space="preserve"> </w:t>
      </w:r>
      <w:bookmarkEnd w:id="33"/>
    </w:p>
    <w:p w14:paraId="75E98E49" w14:textId="77777777" w:rsidR="00002E03" w:rsidRPr="00BB6E71" w:rsidRDefault="00002E03">
      <w:pPr>
        <w:ind w:left="720"/>
        <w:rPr>
          <w:rFonts w:ascii="Georgia" w:eastAsia="Georgia" w:hAnsi="Georgia" w:cs="Georgia"/>
          <w:lang w:val="fr-CA"/>
        </w:rPr>
      </w:pPr>
    </w:p>
    <w:p w14:paraId="1C048633" w14:textId="77777777" w:rsidR="00002E03" w:rsidRPr="00BB6E71" w:rsidRDefault="00002E03">
      <w:pPr>
        <w:rPr>
          <w:rFonts w:ascii="Georgia" w:eastAsia="Georgia" w:hAnsi="Georgia" w:cs="Georgia"/>
          <w:b/>
          <w:lang w:val="fr-CA"/>
        </w:rPr>
      </w:pPr>
    </w:p>
    <w:p w14:paraId="749D19C8" w14:textId="05EE563A" w:rsidR="00002E03" w:rsidRPr="00BB6E71" w:rsidRDefault="00145E97">
      <w:pPr>
        <w:numPr>
          <w:ilvl w:val="0"/>
          <w:numId w:val="1"/>
        </w:numPr>
        <w:rPr>
          <w:rFonts w:ascii="Georgia" w:eastAsia="Georgia" w:hAnsi="Georgia" w:cs="Georgia"/>
          <w:b/>
          <w:lang w:val="fr-CA"/>
        </w:rPr>
      </w:pPr>
      <w:bookmarkStart w:id="34" w:name="lt_pId032"/>
      <w:r w:rsidRPr="00BB6E71">
        <w:rPr>
          <w:rFonts w:ascii="Georgia" w:eastAsia="Georgia" w:hAnsi="Georgia" w:cs="Georgia"/>
          <w:b/>
          <w:lang w:val="fr-CA"/>
        </w:rPr>
        <w:t xml:space="preserve">Je détiens des parts dans un RER ou </w:t>
      </w:r>
      <w:r w:rsidR="001B4A2C">
        <w:rPr>
          <w:rFonts w:ascii="Georgia" w:eastAsia="Georgia" w:hAnsi="Georgia" w:cs="Georgia"/>
          <w:b/>
          <w:lang w:val="fr-CA"/>
        </w:rPr>
        <w:t>une</w:t>
      </w:r>
      <w:r w:rsidRPr="00BB6E71">
        <w:rPr>
          <w:rFonts w:ascii="Georgia" w:eastAsia="Georgia" w:hAnsi="Georgia" w:cs="Georgia"/>
          <w:b/>
          <w:lang w:val="fr-CA"/>
        </w:rPr>
        <w:t xml:space="preserve"> fiducie. Devrai</w:t>
      </w:r>
      <w:r w:rsidR="0017346B" w:rsidRPr="00BB6E71">
        <w:rPr>
          <w:rFonts w:ascii="Georgia" w:eastAsia="Georgia" w:hAnsi="Georgia" w:cs="Georgia"/>
          <w:b/>
          <w:lang w:val="fr-CA"/>
        </w:rPr>
        <w:t>s</w:t>
      </w:r>
      <w:r w:rsidRPr="00BB6E71">
        <w:rPr>
          <w:rFonts w:ascii="Georgia" w:eastAsia="Georgia" w:hAnsi="Georgia" w:cs="Georgia"/>
          <w:b/>
          <w:lang w:val="fr-CA"/>
        </w:rPr>
        <w:t xml:space="preserve">-je recevoir un </w:t>
      </w:r>
      <w:r w:rsidR="00AC3F39" w:rsidRPr="00BB6E71">
        <w:rPr>
          <w:rFonts w:ascii="Georgia" w:eastAsia="Georgia" w:hAnsi="Georgia" w:cs="Georgia"/>
          <w:b/>
          <w:lang w:val="fr-CA"/>
        </w:rPr>
        <w:t>feuillet</w:t>
      </w:r>
      <w:r w:rsidR="004D6D8B">
        <w:rPr>
          <w:rFonts w:ascii="Georgia" w:eastAsia="Georgia" w:hAnsi="Georgia" w:cs="Georgia"/>
          <w:b/>
          <w:lang w:val="fr-CA"/>
        </w:rPr>
        <w:t> </w:t>
      </w:r>
      <w:r w:rsidRPr="00BB6E71">
        <w:rPr>
          <w:rFonts w:ascii="Georgia" w:eastAsia="Georgia" w:hAnsi="Georgia" w:cs="Georgia"/>
          <w:b/>
          <w:lang w:val="fr-CA"/>
        </w:rPr>
        <w:t>T5013 ou déclarer une déduction pour créances douteuses?</w:t>
      </w:r>
      <w:bookmarkEnd w:id="34"/>
    </w:p>
    <w:p w14:paraId="49F303E5" w14:textId="77777777" w:rsidR="00002E03" w:rsidRPr="00BB6E71" w:rsidRDefault="00002E03">
      <w:pPr>
        <w:rPr>
          <w:rFonts w:ascii="Georgia" w:eastAsia="Georgia" w:hAnsi="Georgia" w:cs="Georgia"/>
          <w:b/>
          <w:lang w:val="fr-CA"/>
        </w:rPr>
      </w:pPr>
    </w:p>
    <w:p w14:paraId="0AE933F3" w14:textId="5D7CB669" w:rsidR="00002E03" w:rsidRPr="00BB6E71" w:rsidRDefault="0054300F">
      <w:pPr>
        <w:ind w:left="720"/>
        <w:rPr>
          <w:rFonts w:ascii="Georgia" w:eastAsia="Georgia" w:hAnsi="Georgia" w:cs="Georgia"/>
          <w:lang w:val="fr-CA"/>
        </w:rPr>
      </w:pPr>
      <w:bookmarkStart w:id="35" w:name="lt_pId033"/>
      <w:r w:rsidRPr="003C041C">
        <w:rPr>
          <w:rFonts w:ascii="Georgia" w:eastAsia="Georgia" w:hAnsi="Georgia" w:cs="Georgia"/>
          <w:u w:val="single"/>
          <w:lang w:val="fr-CA"/>
        </w:rPr>
        <w:t>Aucun</w:t>
      </w:r>
      <w:r w:rsidRPr="00BB6E71">
        <w:rPr>
          <w:rFonts w:ascii="Georgia" w:eastAsia="Georgia" w:hAnsi="Georgia" w:cs="Georgia"/>
          <w:lang w:val="fr-CA"/>
        </w:rPr>
        <w:t xml:space="preserve"> </w:t>
      </w:r>
      <w:r w:rsidR="00AC3F39" w:rsidRPr="00BB6E71">
        <w:rPr>
          <w:rFonts w:ascii="Georgia" w:eastAsia="Georgia" w:hAnsi="Georgia" w:cs="Georgia"/>
          <w:lang w:val="fr-CA"/>
        </w:rPr>
        <w:t>feuillet</w:t>
      </w:r>
      <w:r w:rsidRPr="00BB6E71">
        <w:rPr>
          <w:rFonts w:ascii="Georgia" w:eastAsia="Georgia" w:hAnsi="Georgia" w:cs="Georgia"/>
          <w:lang w:val="fr-CA"/>
        </w:rPr>
        <w:t xml:space="preserve"> d’impôt ne sera produit pour les </w:t>
      </w:r>
      <w:r w:rsidR="004408EA" w:rsidRPr="00BB6E71">
        <w:rPr>
          <w:rFonts w:ascii="Georgia" w:eastAsia="Georgia" w:hAnsi="Georgia" w:cs="Georgia"/>
          <w:lang w:val="fr-CA"/>
        </w:rPr>
        <w:t>porteurs de parts</w:t>
      </w:r>
      <w:r w:rsidRPr="00BB6E71">
        <w:rPr>
          <w:rFonts w:ascii="Georgia" w:eastAsia="Georgia" w:hAnsi="Georgia" w:cs="Georgia"/>
          <w:lang w:val="fr-CA"/>
        </w:rPr>
        <w:t xml:space="preserve"> des fonds suivants</w:t>
      </w:r>
      <w:r w:rsidR="004D6D8B">
        <w:rPr>
          <w:rFonts w:ascii="Georgia" w:eastAsia="Georgia" w:hAnsi="Georgia" w:cs="Georgia"/>
          <w:lang w:val="fr-CA"/>
        </w:rPr>
        <w:t> </w:t>
      </w:r>
      <w:r w:rsidRPr="00BB6E71">
        <w:rPr>
          <w:rFonts w:ascii="Georgia" w:eastAsia="Georgia" w:hAnsi="Georgia" w:cs="Georgia"/>
          <w:lang w:val="fr-CA"/>
        </w:rPr>
        <w:t xml:space="preserve">: Bridging </w:t>
      </w:r>
      <w:proofErr w:type="spellStart"/>
      <w:r w:rsidRPr="00BB6E71">
        <w:rPr>
          <w:rFonts w:ascii="Georgia" w:eastAsia="Georgia" w:hAnsi="Georgia" w:cs="Georgia"/>
          <w:lang w:val="fr-CA"/>
        </w:rPr>
        <w:t>Income</w:t>
      </w:r>
      <w:proofErr w:type="spellEnd"/>
      <w:r w:rsidRPr="00BB6E71">
        <w:rPr>
          <w:rFonts w:ascii="Georgia" w:eastAsia="Georgia" w:hAnsi="Georgia" w:cs="Georgia"/>
          <w:lang w:val="fr-CA"/>
        </w:rPr>
        <w:t xml:space="preserve"> RSP </w:t>
      </w:r>
      <w:proofErr w:type="spellStart"/>
      <w:r w:rsidRPr="00BB6E71">
        <w:rPr>
          <w:rFonts w:ascii="Georgia" w:eastAsia="Georgia" w:hAnsi="Georgia" w:cs="Georgia"/>
          <w:lang w:val="fr-CA"/>
        </w:rPr>
        <w:t>Fund</w:t>
      </w:r>
      <w:proofErr w:type="spellEnd"/>
      <w:r w:rsidRPr="00BB6E71">
        <w:rPr>
          <w:rFonts w:ascii="Georgia" w:eastAsia="Georgia" w:hAnsi="Georgia" w:cs="Georgia"/>
          <w:lang w:val="fr-CA"/>
        </w:rPr>
        <w:t xml:space="preserve">, Bridging </w:t>
      </w:r>
      <w:proofErr w:type="spellStart"/>
      <w:r w:rsidRPr="00BB6E71">
        <w:rPr>
          <w:rFonts w:ascii="Georgia" w:eastAsia="Georgia" w:hAnsi="Georgia" w:cs="Georgia"/>
          <w:lang w:val="fr-CA"/>
        </w:rPr>
        <w:t>Mid-Market</w:t>
      </w:r>
      <w:proofErr w:type="spellEnd"/>
      <w:r w:rsidRPr="00BB6E71">
        <w:rPr>
          <w:rFonts w:ascii="Georgia" w:eastAsia="Georgia" w:hAnsi="Georgia" w:cs="Georgia"/>
          <w:lang w:val="fr-CA"/>
        </w:rPr>
        <w:t xml:space="preserve"> RSP </w:t>
      </w:r>
      <w:proofErr w:type="spellStart"/>
      <w:r w:rsidRPr="00BB6E71">
        <w:rPr>
          <w:rFonts w:ascii="Georgia" w:eastAsia="Georgia" w:hAnsi="Georgia" w:cs="Georgia"/>
          <w:lang w:val="fr-CA"/>
        </w:rPr>
        <w:t>Fund</w:t>
      </w:r>
      <w:proofErr w:type="spellEnd"/>
      <w:r w:rsidRPr="00BB6E71">
        <w:rPr>
          <w:rFonts w:ascii="Georgia" w:eastAsia="Georgia" w:hAnsi="Georgia" w:cs="Georgia"/>
          <w:lang w:val="fr-CA"/>
        </w:rPr>
        <w:t xml:space="preserve">, Bridging </w:t>
      </w:r>
      <w:proofErr w:type="spellStart"/>
      <w:r w:rsidRPr="00BB6E71">
        <w:rPr>
          <w:rFonts w:ascii="Georgia" w:eastAsia="Georgia" w:hAnsi="Georgia" w:cs="Georgia"/>
          <w:lang w:val="fr-CA"/>
        </w:rPr>
        <w:t>Private</w:t>
      </w:r>
      <w:proofErr w:type="spellEnd"/>
      <w:r w:rsidRPr="00BB6E71">
        <w:rPr>
          <w:rFonts w:ascii="Georgia" w:eastAsia="Georgia" w:hAnsi="Georgia" w:cs="Georgia"/>
          <w:lang w:val="fr-CA"/>
        </w:rPr>
        <w:t xml:space="preserve"> </w:t>
      </w:r>
      <w:proofErr w:type="spellStart"/>
      <w:r w:rsidRPr="00BB6E71">
        <w:rPr>
          <w:rFonts w:ascii="Georgia" w:eastAsia="Georgia" w:hAnsi="Georgia" w:cs="Georgia"/>
          <w:lang w:val="fr-CA"/>
        </w:rPr>
        <w:t>Debt</w:t>
      </w:r>
      <w:proofErr w:type="spellEnd"/>
      <w:r w:rsidRPr="00BB6E71">
        <w:rPr>
          <w:rFonts w:ascii="Georgia" w:eastAsia="Georgia" w:hAnsi="Georgia" w:cs="Georgia"/>
          <w:lang w:val="fr-CA"/>
        </w:rPr>
        <w:t xml:space="preserve"> </w:t>
      </w:r>
      <w:proofErr w:type="spellStart"/>
      <w:r w:rsidRPr="00BB6E71">
        <w:rPr>
          <w:rFonts w:ascii="Georgia" w:eastAsia="Georgia" w:hAnsi="Georgia" w:cs="Georgia"/>
          <w:lang w:val="fr-CA"/>
        </w:rPr>
        <w:t>Institutional</w:t>
      </w:r>
      <w:proofErr w:type="spellEnd"/>
      <w:r w:rsidRPr="00BB6E71">
        <w:rPr>
          <w:rFonts w:ascii="Georgia" w:eastAsia="Georgia" w:hAnsi="Georgia" w:cs="Georgia"/>
          <w:lang w:val="fr-CA"/>
        </w:rPr>
        <w:t xml:space="preserve"> RSP </w:t>
      </w:r>
      <w:proofErr w:type="spellStart"/>
      <w:r w:rsidRPr="00BB6E71">
        <w:rPr>
          <w:rFonts w:ascii="Georgia" w:eastAsia="Georgia" w:hAnsi="Georgia" w:cs="Georgia"/>
          <w:lang w:val="fr-CA"/>
        </w:rPr>
        <w:t>Fund</w:t>
      </w:r>
      <w:proofErr w:type="spellEnd"/>
      <w:r w:rsidRPr="00BB6E71">
        <w:rPr>
          <w:rFonts w:ascii="Georgia" w:eastAsia="Georgia" w:hAnsi="Georgia" w:cs="Georgia"/>
          <w:lang w:val="fr-CA"/>
        </w:rPr>
        <w:t xml:space="preserve"> et Bridging </w:t>
      </w:r>
      <w:proofErr w:type="spellStart"/>
      <w:r w:rsidRPr="00BB6E71">
        <w:rPr>
          <w:rFonts w:ascii="Georgia" w:eastAsia="Georgia" w:hAnsi="Georgia" w:cs="Georgia"/>
          <w:lang w:val="fr-CA"/>
        </w:rPr>
        <w:t>Indigenous</w:t>
      </w:r>
      <w:proofErr w:type="spellEnd"/>
      <w:r w:rsidRPr="00BB6E71">
        <w:rPr>
          <w:rFonts w:ascii="Georgia" w:eastAsia="Georgia" w:hAnsi="Georgia" w:cs="Georgia"/>
          <w:lang w:val="fr-CA"/>
        </w:rPr>
        <w:t xml:space="preserve"> Impact </w:t>
      </w:r>
      <w:proofErr w:type="spellStart"/>
      <w:r w:rsidRPr="00BB6E71">
        <w:rPr>
          <w:rFonts w:ascii="Georgia" w:eastAsia="Georgia" w:hAnsi="Georgia" w:cs="Georgia"/>
          <w:lang w:val="fr-CA"/>
        </w:rPr>
        <w:t>Fund</w:t>
      </w:r>
      <w:proofErr w:type="spellEnd"/>
      <w:r w:rsidRPr="00BB6E71">
        <w:rPr>
          <w:rFonts w:ascii="Georgia" w:eastAsia="Georgia" w:hAnsi="Georgia" w:cs="Georgia"/>
          <w:lang w:val="fr-CA"/>
        </w:rPr>
        <w:t>.</w:t>
      </w:r>
      <w:bookmarkEnd w:id="35"/>
      <w:r w:rsidRPr="00BB6E71">
        <w:rPr>
          <w:rFonts w:ascii="Georgia" w:eastAsia="Georgia" w:hAnsi="Georgia" w:cs="Georgia"/>
          <w:lang w:val="fr-CA"/>
        </w:rPr>
        <w:t xml:space="preserve"> </w:t>
      </w:r>
      <w:bookmarkStart w:id="36" w:name="lt_pId034"/>
      <w:r w:rsidR="00E75F2C" w:rsidRPr="00BB6E71">
        <w:rPr>
          <w:rFonts w:ascii="Georgia" w:eastAsia="Georgia" w:hAnsi="Georgia" w:cs="Georgia"/>
          <w:lang w:val="fr-CA"/>
        </w:rPr>
        <w:t xml:space="preserve">Puisque ces fonds sont des fiducies (et </w:t>
      </w:r>
      <w:r w:rsidR="00BB6E71" w:rsidRPr="00BB6E71">
        <w:rPr>
          <w:rFonts w:ascii="Georgia" w:eastAsia="Georgia" w:hAnsi="Georgia" w:cs="Georgia"/>
          <w:lang w:val="fr-CA"/>
        </w:rPr>
        <w:t>non</w:t>
      </w:r>
      <w:r w:rsidR="00E75F2C" w:rsidRPr="00BB6E71">
        <w:rPr>
          <w:rFonts w:ascii="Georgia" w:eastAsia="Georgia" w:hAnsi="Georgia" w:cs="Georgia"/>
          <w:lang w:val="fr-CA"/>
        </w:rPr>
        <w:t xml:space="preserve"> des sociétés en commandite), ils n’ont enregistré aucun revenu net ni aucune distribution pour l’année d’imposition</w:t>
      </w:r>
      <w:r w:rsidR="004D6D8B">
        <w:rPr>
          <w:rFonts w:ascii="Georgia" w:eastAsia="Georgia" w:hAnsi="Georgia" w:cs="Georgia"/>
          <w:lang w:val="fr-CA"/>
        </w:rPr>
        <w:t> </w:t>
      </w:r>
      <w:r w:rsidR="00E75F2C" w:rsidRPr="00BB6E71">
        <w:rPr>
          <w:rFonts w:ascii="Georgia" w:eastAsia="Georgia" w:hAnsi="Georgia" w:cs="Georgia"/>
          <w:lang w:val="fr-CA"/>
        </w:rPr>
        <w:t xml:space="preserve">2022. C’est pourquoi aucun </w:t>
      </w:r>
      <w:r w:rsidR="00AC3F39" w:rsidRPr="00BB6E71">
        <w:rPr>
          <w:rFonts w:ascii="Georgia" w:eastAsia="Georgia" w:hAnsi="Georgia" w:cs="Georgia"/>
          <w:lang w:val="fr-CA"/>
        </w:rPr>
        <w:t>feuillet</w:t>
      </w:r>
      <w:r w:rsidR="00E75F2C" w:rsidRPr="00BB6E71">
        <w:rPr>
          <w:rFonts w:ascii="Georgia" w:eastAsia="Georgia" w:hAnsi="Georgia" w:cs="Georgia"/>
          <w:lang w:val="fr-CA"/>
        </w:rPr>
        <w:t xml:space="preserve"> d’impôt n’est produit pour ces fonds.</w:t>
      </w:r>
      <w:bookmarkEnd w:id="36"/>
      <w:r w:rsidR="0017346B" w:rsidRPr="00BB6E71">
        <w:rPr>
          <w:rFonts w:ascii="Georgia" w:eastAsia="Georgia" w:hAnsi="Georgia" w:cs="Georgia"/>
          <w:lang w:val="fr-CA"/>
        </w:rPr>
        <w:t xml:space="preserve"> </w:t>
      </w:r>
      <w:bookmarkStart w:id="37" w:name="lt_pId035"/>
      <w:r w:rsidR="00CD41C8" w:rsidRPr="00BB6E71">
        <w:rPr>
          <w:rFonts w:ascii="Georgia" w:eastAsia="Georgia" w:hAnsi="Georgia" w:cs="Georgia"/>
          <w:lang w:val="fr-CA"/>
        </w:rPr>
        <w:t>Cette approche est conforme aux règles fiscales et aux règles de l’Agence du revenu du Canada.</w:t>
      </w:r>
      <w:bookmarkEnd w:id="37"/>
    </w:p>
    <w:p w14:paraId="2F7A96E5" w14:textId="77777777" w:rsidR="00002E03" w:rsidRPr="00BB6E71" w:rsidRDefault="00002E03">
      <w:pPr>
        <w:ind w:left="720"/>
        <w:rPr>
          <w:rFonts w:ascii="Georgia" w:eastAsia="Georgia" w:hAnsi="Georgia" w:cs="Georgia"/>
          <w:lang w:val="fr-CA"/>
        </w:rPr>
      </w:pPr>
    </w:p>
    <w:p w14:paraId="0CFB89B7" w14:textId="62408A46" w:rsidR="00002E03" w:rsidRPr="00BB6E71" w:rsidRDefault="00F3660A">
      <w:pPr>
        <w:ind w:left="720"/>
        <w:rPr>
          <w:rFonts w:ascii="Georgia" w:eastAsia="Georgia" w:hAnsi="Georgia" w:cs="Georgia"/>
          <w:lang w:val="fr-CA"/>
        </w:rPr>
      </w:pPr>
      <w:bookmarkStart w:id="38" w:name="lt_pId036"/>
      <w:r w:rsidRPr="00BB6E71">
        <w:rPr>
          <w:rFonts w:ascii="Georgia" w:eastAsia="Georgia" w:hAnsi="Georgia" w:cs="Georgia"/>
          <w:lang w:val="fr-CA"/>
        </w:rPr>
        <w:t>Les fonds Bridging qui sont constitués en fiducie (notamment les fonds suivants</w:t>
      </w:r>
      <w:r w:rsidR="004D6D8B">
        <w:rPr>
          <w:rFonts w:ascii="Georgia" w:eastAsia="Georgia" w:hAnsi="Georgia" w:cs="Georgia"/>
          <w:lang w:val="fr-CA"/>
        </w:rPr>
        <w:t> </w:t>
      </w:r>
      <w:r w:rsidRPr="00BB6E71">
        <w:rPr>
          <w:rFonts w:ascii="Georgia" w:eastAsia="Georgia" w:hAnsi="Georgia" w:cs="Georgia"/>
          <w:lang w:val="fr-CA"/>
        </w:rPr>
        <w:t xml:space="preserve">: Bridging </w:t>
      </w:r>
      <w:proofErr w:type="spellStart"/>
      <w:r w:rsidRPr="00BB6E71">
        <w:rPr>
          <w:rFonts w:ascii="Georgia" w:eastAsia="Georgia" w:hAnsi="Georgia" w:cs="Georgia"/>
          <w:lang w:val="fr-CA"/>
        </w:rPr>
        <w:t>Income</w:t>
      </w:r>
      <w:proofErr w:type="spellEnd"/>
      <w:r w:rsidRPr="00BB6E71">
        <w:rPr>
          <w:rFonts w:ascii="Georgia" w:eastAsia="Georgia" w:hAnsi="Georgia" w:cs="Georgia"/>
          <w:lang w:val="fr-CA"/>
        </w:rPr>
        <w:t xml:space="preserve"> RSP </w:t>
      </w:r>
      <w:proofErr w:type="spellStart"/>
      <w:r w:rsidRPr="00BB6E71">
        <w:rPr>
          <w:rFonts w:ascii="Georgia" w:eastAsia="Georgia" w:hAnsi="Georgia" w:cs="Georgia"/>
          <w:lang w:val="fr-CA"/>
        </w:rPr>
        <w:t>Fund</w:t>
      </w:r>
      <w:proofErr w:type="spellEnd"/>
      <w:r w:rsidRPr="00BB6E71">
        <w:rPr>
          <w:rFonts w:ascii="Georgia" w:eastAsia="Georgia" w:hAnsi="Georgia" w:cs="Georgia"/>
          <w:lang w:val="fr-CA"/>
        </w:rPr>
        <w:t xml:space="preserve">, Bridging </w:t>
      </w:r>
      <w:proofErr w:type="spellStart"/>
      <w:r w:rsidRPr="00BB6E71">
        <w:rPr>
          <w:rFonts w:ascii="Georgia" w:eastAsia="Georgia" w:hAnsi="Georgia" w:cs="Georgia"/>
          <w:lang w:val="fr-CA"/>
        </w:rPr>
        <w:t>Mid-Market</w:t>
      </w:r>
      <w:proofErr w:type="spellEnd"/>
      <w:r w:rsidRPr="00BB6E71">
        <w:rPr>
          <w:rFonts w:ascii="Georgia" w:eastAsia="Georgia" w:hAnsi="Georgia" w:cs="Georgia"/>
          <w:lang w:val="fr-CA"/>
        </w:rPr>
        <w:t xml:space="preserve"> RSP </w:t>
      </w:r>
      <w:proofErr w:type="spellStart"/>
      <w:r w:rsidRPr="00BB6E71">
        <w:rPr>
          <w:rFonts w:ascii="Georgia" w:eastAsia="Georgia" w:hAnsi="Georgia" w:cs="Georgia"/>
          <w:lang w:val="fr-CA"/>
        </w:rPr>
        <w:t>Fund</w:t>
      </w:r>
      <w:proofErr w:type="spellEnd"/>
      <w:r w:rsidRPr="00BB6E71">
        <w:rPr>
          <w:rFonts w:ascii="Georgia" w:eastAsia="Georgia" w:hAnsi="Georgia" w:cs="Georgia"/>
          <w:lang w:val="fr-CA"/>
        </w:rPr>
        <w:t xml:space="preserve">, Bridging </w:t>
      </w:r>
      <w:proofErr w:type="spellStart"/>
      <w:r w:rsidRPr="00BB6E71">
        <w:rPr>
          <w:rFonts w:ascii="Georgia" w:eastAsia="Georgia" w:hAnsi="Georgia" w:cs="Georgia"/>
          <w:lang w:val="fr-CA"/>
        </w:rPr>
        <w:t>Private</w:t>
      </w:r>
      <w:proofErr w:type="spellEnd"/>
      <w:r w:rsidRPr="00BB6E71">
        <w:rPr>
          <w:rFonts w:ascii="Georgia" w:eastAsia="Georgia" w:hAnsi="Georgia" w:cs="Georgia"/>
          <w:lang w:val="fr-CA"/>
        </w:rPr>
        <w:t xml:space="preserve"> </w:t>
      </w:r>
      <w:proofErr w:type="spellStart"/>
      <w:r w:rsidRPr="00BB6E71">
        <w:rPr>
          <w:rFonts w:ascii="Georgia" w:eastAsia="Georgia" w:hAnsi="Georgia" w:cs="Georgia"/>
          <w:lang w:val="fr-CA"/>
        </w:rPr>
        <w:t>Debt</w:t>
      </w:r>
      <w:proofErr w:type="spellEnd"/>
      <w:r w:rsidRPr="00BB6E71">
        <w:rPr>
          <w:rFonts w:ascii="Georgia" w:eastAsia="Georgia" w:hAnsi="Georgia" w:cs="Georgia"/>
          <w:lang w:val="fr-CA"/>
        </w:rPr>
        <w:t xml:space="preserve"> </w:t>
      </w:r>
      <w:proofErr w:type="spellStart"/>
      <w:r w:rsidRPr="00BB6E71">
        <w:rPr>
          <w:rFonts w:ascii="Georgia" w:eastAsia="Georgia" w:hAnsi="Georgia" w:cs="Georgia"/>
          <w:lang w:val="fr-CA"/>
        </w:rPr>
        <w:t>Institutional</w:t>
      </w:r>
      <w:proofErr w:type="spellEnd"/>
      <w:r w:rsidRPr="00BB6E71">
        <w:rPr>
          <w:rFonts w:ascii="Georgia" w:eastAsia="Georgia" w:hAnsi="Georgia" w:cs="Georgia"/>
          <w:lang w:val="fr-CA"/>
        </w:rPr>
        <w:t xml:space="preserve"> RSP </w:t>
      </w:r>
      <w:proofErr w:type="spellStart"/>
      <w:r w:rsidRPr="00BB6E71">
        <w:rPr>
          <w:rFonts w:ascii="Georgia" w:eastAsia="Georgia" w:hAnsi="Georgia" w:cs="Georgia"/>
          <w:lang w:val="fr-CA"/>
        </w:rPr>
        <w:t>Fund</w:t>
      </w:r>
      <w:proofErr w:type="spellEnd"/>
      <w:r w:rsidRPr="00BB6E71">
        <w:rPr>
          <w:rFonts w:ascii="Georgia" w:eastAsia="Georgia" w:hAnsi="Georgia" w:cs="Georgia"/>
          <w:lang w:val="fr-CA"/>
        </w:rPr>
        <w:t xml:space="preserve"> et Bridging </w:t>
      </w:r>
      <w:proofErr w:type="spellStart"/>
      <w:r w:rsidRPr="00BB6E71">
        <w:rPr>
          <w:rFonts w:ascii="Georgia" w:eastAsia="Georgia" w:hAnsi="Georgia" w:cs="Georgia"/>
          <w:lang w:val="fr-CA"/>
        </w:rPr>
        <w:t>Indigenous</w:t>
      </w:r>
      <w:proofErr w:type="spellEnd"/>
      <w:r w:rsidRPr="00BB6E71">
        <w:rPr>
          <w:rFonts w:ascii="Georgia" w:eastAsia="Georgia" w:hAnsi="Georgia" w:cs="Georgia"/>
          <w:lang w:val="fr-CA"/>
        </w:rPr>
        <w:t xml:space="preserve"> Impact </w:t>
      </w:r>
      <w:proofErr w:type="spellStart"/>
      <w:r w:rsidRPr="00BB6E71">
        <w:rPr>
          <w:rFonts w:ascii="Georgia" w:eastAsia="Georgia" w:hAnsi="Georgia" w:cs="Georgia"/>
          <w:lang w:val="fr-CA"/>
        </w:rPr>
        <w:t>Fund</w:t>
      </w:r>
      <w:proofErr w:type="spellEnd"/>
      <w:r w:rsidRPr="00BB6E71">
        <w:rPr>
          <w:rFonts w:ascii="Georgia" w:eastAsia="Georgia" w:hAnsi="Georgia" w:cs="Georgia"/>
          <w:lang w:val="fr-CA"/>
        </w:rPr>
        <w:t xml:space="preserve">) ne sont pas autorisés, en vertu de la </w:t>
      </w:r>
      <w:r w:rsidRPr="00BB6E71">
        <w:rPr>
          <w:rFonts w:ascii="Georgia" w:eastAsia="Georgia" w:hAnsi="Georgia" w:cs="Georgia"/>
          <w:i/>
          <w:lang w:val="fr-CA"/>
        </w:rPr>
        <w:t>Loi de l’impôt sur le revenu</w:t>
      </w:r>
      <w:r w:rsidRPr="00BB6E71">
        <w:rPr>
          <w:rFonts w:ascii="Georgia" w:eastAsia="Georgia" w:hAnsi="Georgia" w:cs="Georgia"/>
          <w:lang w:val="fr-CA"/>
        </w:rPr>
        <w:t xml:space="preserve">, à attribuer leurs pertes nettes aux </w:t>
      </w:r>
      <w:r w:rsidR="004408EA" w:rsidRPr="00BB6E71">
        <w:rPr>
          <w:rFonts w:ascii="Georgia" w:eastAsia="Georgia" w:hAnsi="Georgia" w:cs="Georgia"/>
          <w:lang w:val="fr-CA"/>
        </w:rPr>
        <w:t>porteurs de parts</w:t>
      </w:r>
      <w:r w:rsidRPr="00BB6E71">
        <w:rPr>
          <w:rFonts w:ascii="Georgia" w:eastAsia="Georgia" w:hAnsi="Georgia" w:cs="Georgia"/>
          <w:lang w:val="fr-CA"/>
        </w:rPr>
        <w:t>.</w:t>
      </w:r>
      <w:bookmarkEnd w:id="38"/>
      <w:r w:rsidR="0017346B" w:rsidRPr="00BB6E71">
        <w:rPr>
          <w:rFonts w:ascii="Georgia" w:eastAsia="Georgia" w:hAnsi="Georgia" w:cs="Georgia"/>
          <w:lang w:val="fr-CA"/>
        </w:rPr>
        <w:t xml:space="preserve"> </w:t>
      </w:r>
      <w:bookmarkStart w:id="39" w:name="lt_pId037"/>
      <w:r w:rsidR="00560E74" w:rsidRPr="00BB6E71">
        <w:rPr>
          <w:rFonts w:ascii="Georgia" w:eastAsia="Georgia" w:hAnsi="Georgia" w:cs="Georgia"/>
          <w:lang w:val="fr-CA"/>
        </w:rPr>
        <w:t>Cette approche est la même que pour les années antérieures.</w:t>
      </w:r>
      <w:bookmarkEnd w:id="39"/>
    </w:p>
    <w:p w14:paraId="28DEDFA3" w14:textId="77777777" w:rsidR="00002E03" w:rsidRPr="00BB6E71" w:rsidRDefault="00002E03">
      <w:pPr>
        <w:ind w:left="720"/>
        <w:rPr>
          <w:rFonts w:ascii="Georgia" w:eastAsia="Georgia" w:hAnsi="Georgia" w:cs="Georgia"/>
          <w:lang w:val="fr-CA"/>
        </w:rPr>
      </w:pPr>
    </w:p>
    <w:p w14:paraId="093645DD" w14:textId="60088F5A" w:rsidR="00002E03" w:rsidRPr="00BB6E71" w:rsidRDefault="00EF0B9D">
      <w:pPr>
        <w:ind w:left="720"/>
        <w:rPr>
          <w:rFonts w:ascii="Georgia" w:eastAsia="Georgia" w:hAnsi="Georgia" w:cs="Georgia"/>
          <w:lang w:val="fr-CA"/>
        </w:rPr>
      </w:pPr>
      <w:bookmarkStart w:id="40" w:name="lt_pId038"/>
      <w:r w:rsidRPr="00BB6E71">
        <w:rPr>
          <w:rFonts w:ascii="Georgia" w:eastAsia="Georgia" w:hAnsi="Georgia" w:cs="Georgia"/>
          <w:lang w:val="fr-CA"/>
        </w:rPr>
        <w:t xml:space="preserve">Les </w:t>
      </w:r>
      <w:r w:rsidR="004408EA" w:rsidRPr="00BB6E71">
        <w:rPr>
          <w:rFonts w:ascii="Georgia" w:eastAsia="Georgia" w:hAnsi="Georgia" w:cs="Georgia"/>
          <w:lang w:val="fr-CA"/>
        </w:rPr>
        <w:t>porteurs de parts</w:t>
      </w:r>
      <w:r w:rsidRPr="00BB6E71">
        <w:rPr>
          <w:rFonts w:ascii="Georgia" w:eastAsia="Georgia" w:hAnsi="Georgia" w:cs="Georgia"/>
          <w:lang w:val="fr-CA"/>
        </w:rPr>
        <w:t xml:space="preserve"> de fiducies devraient ultimement réaliser une perte à l’égard de leurs parts au moment de la disposition de ces parts ou de la liquidation des fonds Bridging.</w:t>
      </w:r>
      <w:bookmarkEnd w:id="40"/>
      <w:r w:rsidR="0017346B" w:rsidRPr="00BB6E71">
        <w:rPr>
          <w:rFonts w:ascii="Georgia" w:eastAsia="Georgia" w:hAnsi="Georgia" w:cs="Georgia"/>
          <w:lang w:val="fr-CA"/>
        </w:rPr>
        <w:t xml:space="preserve"> </w:t>
      </w:r>
      <w:bookmarkStart w:id="41" w:name="lt_pId039"/>
      <w:r w:rsidR="004408EA" w:rsidRPr="00BB6E71">
        <w:rPr>
          <w:rFonts w:ascii="Georgia" w:eastAsia="Georgia" w:hAnsi="Georgia" w:cs="Georgia"/>
          <w:lang w:val="fr-CA"/>
        </w:rPr>
        <w:t xml:space="preserve">Le montant de ces </w:t>
      </w:r>
      <w:r w:rsidR="00BB6E71" w:rsidRPr="00BB6E71">
        <w:rPr>
          <w:rFonts w:ascii="Georgia" w:eastAsia="Georgia" w:hAnsi="Georgia" w:cs="Georgia"/>
          <w:lang w:val="fr-CA"/>
        </w:rPr>
        <w:t>pertes</w:t>
      </w:r>
      <w:r w:rsidR="004408EA" w:rsidRPr="00BB6E71">
        <w:rPr>
          <w:rFonts w:ascii="Georgia" w:eastAsia="Georgia" w:hAnsi="Georgia" w:cs="Georgia"/>
          <w:lang w:val="fr-CA"/>
        </w:rPr>
        <w:t xml:space="preserve"> n’est pas connu à l’heure actuelle. Le séquestre fournira d’autres informations à ce sujet au cours des prochaines années d’imposition.</w:t>
      </w:r>
      <w:bookmarkEnd w:id="41"/>
    </w:p>
    <w:p w14:paraId="0222D401" w14:textId="77777777" w:rsidR="00002E03" w:rsidRPr="00BB6E71" w:rsidRDefault="00002E03">
      <w:pPr>
        <w:rPr>
          <w:rFonts w:ascii="Georgia" w:eastAsia="Georgia" w:hAnsi="Georgia" w:cs="Georgia"/>
          <w:lang w:val="fr-CA"/>
        </w:rPr>
      </w:pPr>
    </w:p>
    <w:p w14:paraId="0D2BDDFE" w14:textId="3D0FE66F" w:rsidR="00002E03" w:rsidRPr="00BB6E71" w:rsidRDefault="0077425F">
      <w:pPr>
        <w:numPr>
          <w:ilvl w:val="0"/>
          <w:numId w:val="1"/>
        </w:numPr>
        <w:rPr>
          <w:rFonts w:ascii="Georgia" w:eastAsia="Georgia" w:hAnsi="Georgia" w:cs="Georgia"/>
          <w:b/>
          <w:lang w:val="fr-CA"/>
        </w:rPr>
      </w:pPr>
      <w:bookmarkStart w:id="42" w:name="lt_pId040"/>
      <w:r w:rsidRPr="00BB6E71">
        <w:rPr>
          <w:rFonts w:ascii="Georgia" w:eastAsia="Georgia" w:hAnsi="Georgia" w:cs="Georgia"/>
          <w:b/>
          <w:lang w:val="fr-CA"/>
        </w:rPr>
        <w:t xml:space="preserve">Comment les porteurs de parts recevront-ils leurs </w:t>
      </w:r>
      <w:r w:rsidR="00AC3F39" w:rsidRPr="00BB6E71">
        <w:rPr>
          <w:rFonts w:ascii="Georgia" w:eastAsia="Georgia" w:hAnsi="Georgia" w:cs="Georgia"/>
          <w:b/>
          <w:lang w:val="fr-CA"/>
        </w:rPr>
        <w:t>feuillet</w:t>
      </w:r>
      <w:r w:rsidRPr="00BB6E71">
        <w:rPr>
          <w:rFonts w:ascii="Georgia" w:eastAsia="Georgia" w:hAnsi="Georgia" w:cs="Georgia"/>
          <w:b/>
          <w:lang w:val="fr-CA"/>
        </w:rPr>
        <w:t>s d’impôt?</w:t>
      </w:r>
      <w:bookmarkEnd w:id="42"/>
    </w:p>
    <w:p w14:paraId="66F01285" w14:textId="77777777" w:rsidR="00002E03" w:rsidRPr="00BB6E71" w:rsidRDefault="00002E03">
      <w:pPr>
        <w:rPr>
          <w:rFonts w:ascii="Georgia" w:eastAsia="Georgia" w:hAnsi="Georgia" w:cs="Georgia"/>
          <w:lang w:val="fr-CA"/>
        </w:rPr>
      </w:pPr>
    </w:p>
    <w:p w14:paraId="23036076" w14:textId="55691F08" w:rsidR="00002E03" w:rsidRPr="00BB6E71" w:rsidRDefault="001B644E">
      <w:pPr>
        <w:ind w:left="720"/>
        <w:rPr>
          <w:rFonts w:ascii="Georgia" w:eastAsia="Georgia" w:hAnsi="Georgia" w:cs="Georgia"/>
          <w:lang w:val="fr-CA"/>
        </w:rPr>
      </w:pPr>
      <w:bookmarkStart w:id="43" w:name="lt_pId041"/>
      <w:r w:rsidRPr="00BB6E71">
        <w:rPr>
          <w:rFonts w:ascii="Georgia" w:eastAsia="Georgia" w:hAnsi="Georgia" w:cs="Georgia"/>
          <w:lang w:val="fr-CA"/>
        </w:rPr>
        <w:t xml:space="preserve">Les </w:t>
      </w:r>
      <w:r w:rsidR="00AC3F39" w:rsidRPr="00BB6E71">
        <w:rPr>
          <w:rFonts w:ascii="Georgia" w:eastAsia="Georgia" w:hAnsi="Georgia" w:cs="Georgia"/>
          <w:lang w:val="fr-CA"/>
        </w:rPr>
        <w:t>feuillet</w:t>
      </w:r>
      <w:r w:rsidRPr="00BB6E71">
        <w:rPr>
          <w:rFonts w:ascii="Georgia" w:eastAsia="Georgia" w:hAnsi="Georgia" w:cs="Georgia"/>
          <w:lang w:val="fr-CA"/>
        </w:rPr>
        <w:t xml:space="preserve">s d’impôt (T3, T5013 et NR4) </w:t>
      </w:r>
      <w:r w:rsidR="001B4A2C">
        <w:rPr>
          <w:rFonts w:ascii="Georgia" w:eastAsia="Georgia" w:hAnsi="Georgia" w:cs="Georgia"/>
          <w:lang w:val="fr-CA"/>
        </w:rPr>
        <w:t>ont été</w:t>
      </w:r>
      <w:r w:rsidRPr="00BB6E71">
        <w:rPr>
          <w:rFonts w:ascii="Georgia" w:eastAsia="Georgia" w:hAnsi="Georgia" w:cs="Georgia"/>
          <w:lang w:val="fr-CA"/>
        </w:rPr>
        <w:t xml:space="preserve"> envoyés par la poste aux porteurs de parts au plus tard le 30</w:t>
      </w:r>
      <w:r w:rsidR="004D6D8B">
        <w:rPr>
          <w:rFonts w:ascii="Georgia" w:eastAsia="Georgia" w:hAnsi="Georgia" w:cs="Georgia"/>
          <w:lang w:val="fr-CA"/>
        </w:rPr>
        <w:t> </w:t>
      </w:r>
      <w:r w:rsidRPr="00BB6E71">
        <w:rPr>
          <w:rFonts w:ascii="Georgia" w:eastAsia="Georgia" w:hAnsi="Georgia" w:cs="Georgia"/>
          <w:lang w:val="fr-CA"/>
        </w:rPr>
        <w:t>mars 2023.</w:t>
      </w:r>
      <w:bookmarkEnd w:id="43"/>
      <w:r w:rsidRPr="00BB6E71">
        <w:rPr>
          <w:rFonts w:ascii="Georgia" w:eastAsia="Georgia" w:hAnsi="Georgia" w:cs="Georgia"/>
          <w:lang w:val="fr-CA"/>
        </w:rPr>
        <w:t xml:space="preserve"> </w:t>
      </w:r>
      <w:bookmarkStart w:id="44" w:name="lt_pId042"/>
      <w:r w:rsidR="00C22D64" w:rsidRPr="00BB6E71">
        <w:rPr>
          <w:rFonts w:ascii="Georgia" w:eastAsia="Georgia" w:hAnsi="Georgia" w:cs="Georgia"/>
          <w:lang w:val="fr-CA"/>
        </w:rPr>
        <w:t xml:space="preserve">Conformément à la </w:t>
      </w:r>
      <w:r w:rsidR="00C22D64" w:rsidRPr="00BB6E71">
        <w:rPr>
          <w:rFonts w:ascii="Georgia" w:eastAsia="Georgia" w:hAnsi="Georgia" w:cs="Georgia"/>
          <w:i/>
          <w:lang w:val="fr-CA"/>
        </w:rPr>
        <w:t xml:space="preserve">Loi de l’impôt sur le revenu </w:t>
      </w:r>
      <w:r w:rsidR="00C22D64" w:rsidRPr="00BB6E71">
        <w:rPr>
          <w:rFonts w:ascii="Georgia" w:eastAsia="Georgia" w:hAnsi="Georgia" w:cs="Georgia"/>
          <w:lang w:val="fr-CA"/>
        </w:rPr>
        <w:t xml:space="preserve">et comme par les années passées, certains porteurs de parts recevront des </w:t>
      </w:r>
      <w:r w:rsidR="00AC3F39" w:rsidRPr="00BB6E71">
        <w:rPr>
          <w:rFonts w:ascii="Georgia" w:eastAsia="Georgia" w:hAnsi="Georgia" w:cs="Georgia"/>
          <w:lang w:val="fr-CA"/>
        </w:rPr>
        <w:t>feuillet</w:t>
      </w:r>
      <w:r w:rsidR="00C22D64" w:rsidRPr="00BB6E71">
        <w:rPr>
          <w:rFonts w:ascii="Georgia" w:eastAsia="Georgia" w:hAnsi="Georgia" w:cs="Georgia"/>
          <w:lang w:val="fr-CA"/>
        </w:rPr>
        <w:t>s d’impôt en fonction des parts qu’il</w:t>
      </w:r>
      <w:r w:rsidR="001A224D">
        <w:rPr>
          <w:rFonts w:ascii="Georgia" w:eastAsia="Georgia" w:hAnsi="Georgia" w:cs="Georgia"/>
          <w:lang w:val="fr-CA"/>
        </w:rPr>
        <w:t>s</w:t>
      </w:r>
      <w:r w:rsidR="00C22D64" w:rsidRPr="00BB6E71">
        <w:rPr>
          <w:rFonts w:ascii="Georgia" w:eastAsia="Georgia" w:hAnsi="Georgia" w:cs="Georgia"/>
          <w:lang w:val="fr-CA"/>
        </w:rPr>
        <w:t xml:space="preserve"> détiennent dans des fonds Bridging déterminés, de leur statut de résident et du type de compte (enregistré ou non enregistré)</w:t>
      </w:r>
      <w:r w:rsidR="0017346B" w:rsidRPr="00BB6E71">
        <w:rPr>
          <w:rFonts w:ascii="Georgia" w:eastAsia="Georgia" w:hAnsi="Georgia" w:cs="Georgia"/>
          <w:lang w:val="fr-CA"/>
        </w:rPr>
        <w:t xml:space="preserve"> dans lequel les parts sont détenues</w:t>
      </w:r>
      <w:r w:rsidR="00C22D64" w:rsidRPr="00BB6E71">
        <w:rPr>
          <w:rFonts w:ascii="Georgia" w:eastAsia="Georgia" w:hAnsi="Georgia" w:cs="Georgia"/>
          <w:lang w:val="fr-CA"/>
        </w:rPr>
        <w:t>.</w:t>
      </w:r>
      <w:bookmarkEnd w:id="44"/>
      <w:r w:rsidRPr="00BB6E71">
        <w:rPr>
          <w:rFonts w:ascii="Georgia" w:eastAsia="Georgia" w:hAnsi="Georgia" w:cs="Georgia"/>
          <w:lang w:val="fr-CA"/>
        </w:rPr>
        <w:t xml:space="preserve"> </w:t>
      </w:r>
    </w:p>
    <w:p w14:paraId="5398457D" w14:textId="77777777" w:rsidR="00002E03" w:rsidRPr="00BB6E71" w:rsidRDefault="00002E03">
      <w:pPr>
        <w:ind w:left="720"/>
        <w:rPr>
          <w:rFonts w:ascii="Georgia" w:eastAsia="Georgia" w:hAnsi="Georgia" w:cs="Georgia"/>
          <w:lang w:val="fr-CA"/>
        </w:rPr>
      </w:pPr>
    </w:p>
    <w:p w14:paraId="13AEB636" w14:textId="2AC6A753" w:rsidR="00002E03" w:rsidRPr="00BB6E71" w:rsidRDefault="00B31CE5">
      <w:pPr>
        <w:ind w:left="720"/>
        <w:rPr>
          <w:rFonts w:ascii="Georgia" w:eastAsia="Georgia" w:hAnsi="Georgia" w:cs="Georgia"/>
          <w:lang w:val="fr-CA"/>
        </w:rPr>
      </w:pPr>
      <w:bookmarkStart w:id="45" w:name="lt_pId043"/>
      <w:r w:rsidRPr="00BB6E71">
        <w:rPr>
          <w:rFonts w:ascii="Georgia" w:eastAsia="Georgia" w:hAnsi="Georgia" w:cs="Georgia"/>
          <w:lang w:val="fr-CA"/>
        </w:rPr>
        <w:lastRenderedPageBreak/>
        <w:t xml:space="preserve">Pour obtenir une copie d’un </w:t>
      </w:r>
      <w:r w:rsidR="00AC3F39" w:rsidRPr="00BB6E71">
        <w:rPr>
          <w:rFonts w:ascii="Georgia" w:eastAsia="Georgia" w:hAnsi="Georgia" w:cs="Georgia"/>
          <w:lang w:val="fr-CA"/>
        </w:rPr>
        <w:t>feuillet</w:t>
      </w:r>
      <w:r w:rsidRPr="00BB6E71">
        <w:rPr>
          <w:rFonts w:ascii="Georgia" w:eastAsia="Georgia" w:hAnsi="Georgia" w:cs="Georgia"/>
          <w:lang w:val="fr-CA"/>
        </w:rPr>
        <w:t xml:space="preserve">, veuillez communiquer avec le séquestre à l’adresse </w:t>
      </w:r>
      <w:bookmarkStart w:id="46" w:name="lt_pId043_leftovers"/>
      <w:r w:rsidR="0064633E" w:rsidRPr="00BB6E71">
        <w:rPr>
          <w:lang w:val="fr-CA"/>
        </w:rPr>
        <w:fldChar w:fldCharType="begin"/>
      </w:r>
      <w:r w:rsidR="0064633E" w:rsidRPr="00BB6E71">
        <w:rPr>
          <w:lang w:val="fr-CA"/>
        </w:rPr>
        <w:instrText xml:space="preserve"> HYPERLINK "mailto:ca_bridgingfinance@pwc.com" </w:instrText>
      </w:r>
      <w:r w:rsidR="0064633E" w:rsidRPr="00BB6E71">
        <w:rPr>
          <w:lang w:val="fr-CA"/>
        </w:rPr>
        <w:fldChar w:fldCharType="separate"/>
      </w:r>
      <w:r w:rsidR="0064633E" w:rsidRPr="00BB6E71">
        <w:rPr>
          <w:rFonts w:ascii="Georgia" w:eastAsia="Georgia" w:hAnsi="Georgia" w:cs="Georgia"/>
          <w:color w:val="1155CC"/>
          <w:u w:val="single"/>
          <w:lang w:val="fr-CA"/>
        </w:rPr>
        <w:t>ca_bridgingfinance@pwc.com</w:t>
      </w:r>
      <w:r w:rsidR="0064633E" w:rsidRPr="00BB6E71">
        <w:rPr>
          <w:lang w:val="fr-CA"/>
        </w:rPr>
        <w:fldChar w:fldCharType="end"/>
      </w:r>
      <w:bookmarkEnd w:id="46"/>
      <w:r w:rsidRPr="00BB6E71">
        <w:rPr>
          <w:rFonts w:ascii="Georgia" w:eastAsia="Georgia" w:hAnsi="Georgia" w:cs="Georgia"/>
          <w:lang w:val="fr-CA"/>
        </w:rPr>
        <w:t>.</w:t>
      </w:r>
      <w:bookmarkEnd w:id="45"/>
      <w:r w:rsidR="0017346B" w:rsidRPr="00BB6E71">
        <w:rPr>
          <w:rFonts w:ascii="Georgia" w:eastAsia="Georgia" w:hAnsi="Georgia" w:cs="Georgia"/>
          <w:lang w:val="fr-CA"/>
        </w:rPr>
        <w:t xml:space="preserve"> </w:t>
      </w:r>
      <w:bookmarkStart w:id="47" w:name="lt_pId044"/>
      <w:r w:rsidR="0064633E" w:rsidRPr="00BB6E71">
        <w:rPr>
          <w:rFonts w:ascii="Georgia" w:eastAsia="Georgia" w:hAnsi="Georgia" w:cs="Georgia"/>
          <w:lang w:val="fr-CA"/>
        </w:rPr>
        <w:t>Veuillez noter qu’en raison de l’important volume de demandes, le séquestre s’efforcera de fournir une copie dans un délai de 2-3</w:t>
      </w:r>
      <w:r w:rsidR="004D6D8B">
        <w:rPr>
          <w:rFonts w:ascii="Georgia" w:eastAsia="Georgia" w:hAnsi="Georgia" w:cs="Georgia"/>
          <w:lang w:val="fr-CA"/>
        </w:rPr>
        <w:t> </w:t>
      </w:r>
      <w:r w:rsidR="0064633E" w:rsidRPr="00BB6E71">
        <w:rPr>
          <w:rFonts w:ascii="Georgia" w:eastAsia="Georgia" w:hAnsi="Georgia" w:cs="Georgia"/>
          <w:lang w:val="fr-CA"/>
        </w:rPr>
        <w:t xml:space="preserve">jours ouvrables. </w:t>
      </w:r>
      <w:bookmarkEnd w:id="47"/>
    </w:p>
    <w:p w14:paraId="3090FB60" w14:textId="77777777" w:rsidR="00002E03" w:rsidRPr="00BB6E71" w:rsidRDefault="00002E03">
      <w:pPr>
        <w:ind w:left="720"/>
        <w:rPr>
          <w:rFonts w:ascii="Georgia" w:eastAsia="Georgia" w:hAnsi="Georgia" w:cs="Georgia"/>
          <w:lang w:val="fr-CA"/>
        </w:rPr>
      </w:pPr>
    </w:p>
    <w:p w14:paraId="45086FD6" w14:textId="10B2C491" w:rsidR="00002E03" w:rsidRPr="00BB6E71" w:rsidRDefault="00543B83">
      <w:pPr>
        <w:numPr>
          <w:ilvl w:val="0"/>
          <w:numId w:val="1"/>
        </w:numPr>
        <w:rPr>
          <w:rFonts w:ascii="Georgia" w:eastAsia="Georgia" w:hAnsi="Georgia" w:cs="Georgia"/>
          <w:b/>
          <w:lang w:val="fr-CA"/>
        </w:rPr>
      </w:pPr>
      <w:bookmarkStart w:id="48" w:name="lt_pId045"/>
      <w:r w:rsidRPr="00BB6E71">
        <w:rPr>
          <w:rFonts w:ascii="Georgia" w:eastAsia="Georgia" w:hAnsi="Georgia" w:cs="Georgia"/>
          <w:b/>
          <w:lang w:val="fr-CA"/>
        </w:rPr>
        <w:t>Que représente le montant de la case</w:t>
      </w:r>
      <w:r w:rsidR="004D6D8B">
        <w:rPr>
          <w:rFonts w:ascii="Georgia" w:eastAsia="Georgia" w:hAnsi="Georgia" w:cs="Georgia"/>
          <w:b/>
          <w:lang w:val="fr-CA"/>
        </w:rPr>
        <w:t> </w:t>
      </w:r>
      <w:r w:rsidRPr="00BB6E71">
        <w:rPr>
          <w:rFonts w:ascii="Georgia" w:eastAsia="Georgia" w:hAnsi="Georgia" w:cs="Georgia"/>
          <w:b/>
          <w:lang w:val="fr-CA"/>
        </w:rPr>
        <w:t>105?</w:t>
      </w:r>
      <w:bookmarkEnd w:id="48"/>
    </w:p>
    <w:p w14:paraId="6FB73609" w14:textId="77777777" w:rsidR="00002E03" w:rsidRPr="00BB6E71" w:rsidRDefault="00002E03">
      <w:pPr>
        <w:rPr>
          <w:rFonts w:ascii="Georgia" w:eastAsia="Georgia" w:hAnsi="Georgia" w:cs="Georgia"/>
          <w:lang w:val="fr-CA"/>
        </w:rPr>
      </w:pPr>
    </w:p>
    <w:p w14:paraId="62A0FA8B" w14:textId="72C83DD3" w:rsidR="00002E03" w:rsidRPr="00BB6E71" w:rsidRDefault="00FA7CB2">
      <w:pPr>
        <w:ind w:left="720"/>
        <w:rPr>
          <w:rFonts w:ascii="Georgia" w:eastAsia="Georgia" w:hAnsi="Georgia" w:cs="Georgia"/>
          <w:lang w:val="fr-CA"/>
        </w:rPr>
      </w:pPr>
      <w:bookmarkStart w:id="49" w:name="lt_pId046"/>
      <w:r w:rsidRPr="00BB6E71">
        <w:rPr>
          <w:rFonts w:ascii="Georgia" w:eastAsia="Georgia" w:hAnsi="Georgia" w:cs="Georgia"/>
          <w:lang w:val="fr-CA"/>
        </w:rPr>
        <w:t>Pour les fonds constitués en société en commandite, la case</w:t>
      </w:r>
      <w:r w:rsidR="004D6D8B">
        <w:rPr>
          <w:rFonts w:ascii="Georgia" w:eastAsia="Georgia" w:hAnsi="Georgia" w:cs="Georgia"/>
          <w:lang w:val="fr-CA"/>
        </w:rPr>
        <w:t> </w:t>
      </w:r>
      <w:r w:rsidRPr="00BB6E71">
        <w:rPr>
          <w:rFonts w:ascii="Georgia" w:eastAsia="Georgia" w:hAnsi="Georgia" w:cs="Georgia"/>
          <w:lang w:val="fr-CA"/>
        </w:rPr>
        <w:t>105 correspond à la fraction à risque pour chaque porteur de parts.</w:t>
      </w:r>
      <w:bookmarkEnd w:id="49"/>
      <w:r w:rsidR="0017346B" w:rsidRPr="00BB6E71">
        <w:rPr>
          <w:rFonts w:ascii="Georgia" w:eastAsia="Georgia" w:hAnsi="Georgia" w:cs="Georgia"/>
          <w:lang w:val="fr-CA"/>
        </w:rPr>
        <w:t xml:space="preserve"> </w:t>
      </w:r>
      <w:bookmarkStart w:id="50" w:name="lt_pId047"/>
      <w:r w:rsidR="001F0C8E" w:rsidRPr="00BB6E71">
        <w:rPr>
          <w:rFonts w:ascii="Georgia" w:eastAsia="Georgia" w:hAnsi="Georgia" w:cs="Georgia"/>
          <w:lang w:val="fr-CA"/>
        </w:rPr>
        <w:t xml:space="preserve">La fraction à risque fait l’objet d’un suivi par l’ARC afin d’éviter que les </w:t>
      </w:r>
      <w:r w:rsidR="004C0475" w:rsidRPr="00BB6E71">
        <w:rPr>
          <w:rFonts w:ascii="Georgia" w:eastAsia="Georgia" w:hAnsi="Georgia" w:cs="Georgia"/>
          <w:lang w:val="fr-CA"/>
        </w:rPr>
        <w:t>porteurs</w:t>
      </w:r>
      <w:r w:rsidR="001F0C8E" w:rsidRPr="00BB6E71">
        <w:rPr>
          <w:rFonts w:ascii="Georgia" w:eastAsia="Georgia" w:hAnsi="Georgia" w:cs="Georgia"/>
          <w:lang w:val="fr-CA"/>
        </w:rPr>
        <w:t xml:space="preserve"> de parts ne déclarent des pertes plus élevées que le montant permis.</w:t>
      </w:r>
      <w:bookmarkEnd w:id="50"/>
      <w:r w:rsidRPr="00BB6E71">
        <w:rPr>
          <w:rFonts w:ascii="Georgia" w:eastAsia="Georgia" w:hAnsi="Georgia" w:cs="Georgia"/>
          <w:lang w:val="fr-CA"/>
        </w:rPr>
        <w:t xml:space="preserve"> </w:t>
      </w:r>
      <w:bookmarkStart w:id="51" w:name="lt_pId048"/>
      <w:r w:rsidR="003619F1" w:rsidRPr="00BB6E71">
        <w:rPr>
          <w:rFonts w:ascii="Georgia" w:eastAsia="Georgia" w:hAnsi="Georgia" w:cs="Georgia"/>
          <w:lang w:val="fr-CA"/>
        </w:rPr>
        <w:t xml:space="preserve">La fraction à risque pour 2022 tient compte de la perte nette indiquée sur le </w:t>
      </w:r>
      <w:r w:rsidR="00AC3F39" w:rsidRPr="00BB6E71">
        <w:rPr>
          <w:rFonts w:ascii="Georgia" w:eastAsia="Georgia" w:hAnsi="Georgia" w:cs="Georgia"/>
          <w:lang w:val="fr-CA"/>
        </w:rPr>
        <w:t>feuillet</w:t>
      </w:r>
      <w:r w:rsidR="003619F1" w:rsidRPr="00BB6E71">
        <w:rPr>
          <w:rFonts w:ascii="Georgia" w:eastAsia="Georgia" w:hAnsi="Georgia" w:cs="Georgia"/>
          <w:lang w:val="fr-CA"/>
        </w:rPr>
        <w:t xml:space="preserve"> de 2021 (</w:t>
      </w:r>
      <w:r w:rsidR="003C041C">
        <w:rPr>
          <w:rFonts w:ascii="Georgia" w:eastAsia="Georgia" w:hAnsi="Georgia" w:cs="Georgia"/>
          <w:lang w:val="fr-CA"/>
        </w:rPr>
        <w:t>c.-à-d.,</w:t>
      </w:r>
      <w:r w:rsidR="003C041C" w:rsidRPr="00BB6E71">
        <w:rPr>
          <w:rFonts w:ascii="Georgia" w:eastAsia="Georgia" w:hAnsi="Georgia" w:cs="Georgia"/>
          <w:lang w:val="fr-CA"/>
        </w:rPr>
        <w:t xml:space="preserve"> </w:t>
      </w:r>
      <w:r w:rsidR="003619F1" w:rsidRPr="00BB6E71">
        <w:rPr>
          <w:rFonts w:ascii="Georgia" w:eastAsia="Georgia" w:hAnsi="Georgia" w:cs="Georgia"/>
          <w:lang w:val="fr-CA"/>
        </w:rPr>
        <w:t>d’après les cases</w:t>
      </w:r>
      <w:r w:rsidR="004D6D8B">
        <w:rPr>
          <w:rFonts w:ascii="Georgia" w:eastAsia="Georgia" w:hAnsi="Georgia" w:cs="Georgia"/>
          <w:lang w:val="fr-CA"/>
        </w:rPr>
        <w:t> </w:t>
      </w:r>
      <w:r w:rsidR="003619F1" w:rsidRPr="00BB6E71">
        <w:rPr>
          <w:rFonts w:ascii="Georgia" w:eastAsia="Georgia" w:hAnsi="Georgia" w:cs="Georgia"/>
          <w:lang w:val="fr-CA"/>
        </w:rPr>
        <w:t xml:space="preserve">104 et 210) et des gains en capital (le cas échéant) indiqués sur le </w:t>
      </w:r>
      <w:r w:rsidR="00AC3F39" w:rsidRPr="00BB6E71">
        <w:rPr>
          <w:rFonts w:ascii="Georgia" w:eastAsia="Georgia" w:hAnsi="Georgia" w:cs="Georgia"/>
          <w:lang w:val="fr-CA"/>
        </w:rPr>
        <w:t>feuillet</w:t>
      </w:r>
      <w:r w:rsidR="003619F1" w:rsidRPr="00BB6E71">
        <w:rPr>
          <w:rFonts w:ascii="Georgia" w:eastAsia="Georgia" w:hAnsi="Georgia" w:cs="Georgia"/>
          <w:lang w:val="fr-CA"/>
        </w:rPr>
        <w:t xml:space="preserve"> de 2022</w:t>
      </w:r>
      <w:r w:rsidR="00876A10">
        <w:rPr>
          <w:rFonts w:ascii="Georgia" w:eastAsia="Georgia" w:hAnsi="Georgia" w:cs="Georgia"/>
          <w:lang w:val="fr-CA"/>
        </w:rPr>
        <w:t xml:space="preserve"> du porteur de parts</w:t>
      </w:r>
      <w:r w:rsidR="003619F1" w:rsidRPr="00BB6E71">
        <w:rPr>
          <w:rFonts w:ascii="Georgia" w:eastAsia="Georgia" w:hAnsi="Georgia" w:cs="Georgia"/>
          <w:lang w:val="fr-CA"/>
        </w:rPr>
        <w:t>.</w:t>
      </w:r>
      <w:bookmarkEnd w:id="51"/>
      <w:r w:rsidRPr="00BB6E71">
        <w:rPr>
          <w:rFonts w:ascii="Georgia" w:eastAsia="Georgia" w:hAnsi="Georgia" w:cs="Georgia"/>
          <w:color w:val="0000FF"/>
          <w:lang w:val="fr-CA"/>
        </w:rPr>
        <w:t xml:space="preserve"> </w:t>
      </w:r>
    </w:p>
    <w:p w14:paraId="54B88953" w14:textId="77777777" w:rsidR="00002E03" w:rsidRPr="00BB6E71" w:rsidRDefault="00002E03">
      <w:pPr>
        <w:ind w:left="720"/>
        <w:rPr>
          <w:rFonts w:ascii="Georgia" w:eastAsia="Georgia" w:hAnsi="Georgia" w:cs="Georgia"/>
          <w:lang w:val="fr-CA"/>
        </w:rPr>
      </w:pPr>
    </w:p>
    <w:p w14:paraId="46792565" w14:textId="12CD7131" w:rsidR="00002E03" w:rsidRPr="00BB6E71" w:rsidRDefault="006B459C">
      <w:pPr>
        <w:ind w:left="720"/>
        <w:rPr>
          <w:rFonts w:ascii="Georgia" w:eastAsia="Georgia" w:hAnsi="Georgia" w:cs="Georgia"/>
          <w:lang w:val="fr-CA"/>
        </w:rPr>
      </w:pPr>
      <w:bookmarkStart w:id="52" w:name="lt_pId049"/>
      <w:r w:rsidRPr="00BB6E71">
        <w:rPr>
          <w:rFonts w:ascii="Georgia" w:eastAsia="Georgia" w:hAnsi="Georgia" w:cs="Georgia"/>
          <w:lang w:val="fr-CA"/>
        </w:rPr>
        <w:t>Bien que la fraction à risque soit semblable au prix de base rajusté (PBR), il s’agit de deux choses différentes.</w:t>
      </w:r>
      <w:bookmarkEnd w:id="52"/>
      <w:r w:rsidR="0017346B" w:rsidRPr="00BB6E71">
        <w:rPr>
          <w:rFonts w:ascii="Georgia" w:eastAsia="Georgia" w:hAnsi="Georgia" w:cs="Georgia"/>
          <w:lang w:val="fr-CA"/>
        </w:rPr>
        <w:t xml:space="preserve"> </w:t>
      </w:r>
      <w:bookmarkStart w:id="53" w:name="lt_pId050"/>
      <w:r w:rsidR="003313AC" w:rsidRPr="00BB6E71">
        <w:rPr>
          <w:rFonts w:ascii="Georgia" w:eastAsia="Georgia" w:hAnsi="Georgia" w:cs="Georgia"/>
          <w:lang w:val="fr-CA"/>
        </w:rPr>
        <w:t>Le séquestre, Bridging et SS&amp;C ne sont pas en mesure de fournir le calcul du PBR.</w:t>
      </w:r>
      <w:bookmarkEnd w:id="53"/>
      <w:r w:rsidRPr="00BB6E71">
        <w:rPr>
          <w:rFonts w:ascii="Georgia" w:eastAsia="Georgia" w:hAnsi="Georgia" w:cs="Georgia"/>
          <w:lang w:val="fr-CA"/>
        </w:rPr>
        <w:t xml:space="preserve"> </w:t>
      </w:r>
      <w:bookmarkStart w:id="54" w:name="lt_pId051"/>
      <w:r w:rsidR="00A6225F" w:rsidRPr="00BB6E71">
        <w:rPr>
          <w:rFonts w:ascii="Georgia" w:eastAsia="Georgia" w:hAnsi="Georgia" w:cs="Georgia"/>
          <w:lang w:val="fr-CA"/>
        </w:rPr>
        <w:t>Cette pratique est conforme aux pratiques antérieures de Bridging.</w:t>
      </w:r>
      <w:bookmarkEnd w:id="54"/>
      <w:r w:rsidR="0017346B" w:rsidRPr="00BB6E71">
        <w:rPr>
          <w:rFonts w:ascii="Georgia" w:eastAsia="Georgia" w:hAnsi="Georgia" w:cs="Georgia"/>
          <w:lang w:val="fr-CA"/>
        </w:rPr>
        <w:t xml:space="preserve"> </w:t>
      </w:r>
      <w:bookmarkStart w:id="55" w:name="lt_pId052"/>
      <w:r w:rsidR="00FC3D1E" w:rsidRPr="00BB6E71">
        <w:rPr>
          <w:rFonts w:ascii="Georgia" w:eastAsia="Georgia" w:hAnsi="Georgia" w:cs="Georgia"/>
          <w:lang w:val="fr-CA"/>
        </w:rPr>
        <w:t>Les porteurs de parts doivent obtenir tout conseil fiscal sur le calcul du PBR par leurs propres moyens.</w:t>
      </w:r>
      <w:bookmarkEnd w:id="55"/>
    </w:p>
    <w:p w14:paraId="309C7147" w14:textId="77777777" w:rsidR="00002E03" w:rsidRPr="00BB6E71" w:rsidRDefault="00002E03">
      <w:pPr>
        <w:rPr>
          <w:rFonts w:ascii="Georgia" w:eastAsia="Georgia" w:hAnsi="Georgia" w:cs="Georgia"/>
          <w:lang w:val="fr-CA"/>
        </w:rPr>
      </w:pPr>
    </w:p>
    <w:p w14:paraId="7CB2859C" w14:textId="1D6B9E27" w:rsidR="00002E03" w:rsidRPr="00BB6E71" w:rsidRDefault="001B2827">
      <w:pPr>
        <w:numPr>
          <w:ilvl w:val="0"/>
          <w:numId w:val="1"/>
        </w:numPr>
        <w:rPr>
          <w:rFonts w:ascii="Georgia" w:eastAsia="Georgia" w:hAnsi="Georgia" w:cs="Georgia"/>
          <w:b/>
          <w:lang w:val="fr-CA"/>
        </w:rPr>
      </w:pPr>
      <w:bookmarkStart w:id="56" w:name="lt_pId053"/>
      <w:r w:rsidRPr="00BB6E71">
        <w:rPr>
          <w:rFonts w:ascii="Georgia" w:eastAsia="Georgia" w:hAnsi="Georgia" w:cs="Georgia"/>
          <w:b/>
          <w:lang w:val="fr-CA"/>
        </w:rPr>
        <w:t>Puis-je utiliser la perte créée lors d’années d’imposition antérieures?</w:t>
      </w:r>
      <w:bookmarkEnd w:id="56"/>
    </w:p>
    <w:p w14:paraId="67BCA330" w14:textId="77777777" w:rsidR="00002E03" w:rsidRPr="00BB6E71" w:rsidRDefault="00002E03">
      <w:pPr>
        <w:rPr>
          <w:rFonts w:ascii="Georgia" w:eastAsia="Georgia" w:hAnsi="Georgia" w:cs="Georgia"/>
          <w:lang w:val="fr-CA"/>
        </w:rPr>
      </w:pPr>
    </w:p>
    <w:p w14:paraId="4ACD4978" w14:textId="12068D55" w:rsidR="00002E03" w:rsidRPr="00BB6E71" w:rsidRDefault="00596133">
      <w:pPr>
        <w:ind w:left="720"/>
        <w:rPr>
          <w:rFonts w:ascii="Georgia" w:eastAsia="Georgia" w:hAnsi="Georgia" w:cs="Georgia"/>
          <w:lang w:val="fr-CA"/>
        </w:rPr>
      </w:pPr>
      <w:bookmarkStart w:id="57" w:name="lt_pId054"/>
      <w:r w:rsidRPr="00BB6E71">
        <w:rPr>
          <w:rFonts w:ascii="Georgia" w:eastAsia="Georgia" w:hAnsi="Georgia" w:cs="Georgia"/>
          <w:lang w:val="fr-CA"/>
        </w:rPr>
        <w:t>Chaque investisseur a son propre profil fiscal, et ce profil a une incidence sur l’application de la DCD en fonction de sa situation particulière.</w:t>
      </w:r>
      <w:bookmarkEnd w:id="57"/>
      <w:r w:rsidR="0017346B" w:rsidRPr="00BB6E71">
        <w:rPr>
          <w:rFonts w:ascii="Georgia" w:eastAsia="Georgia" w:hAnsi="Georgia" w:cs="Georgia"/>
          <w:lang w:val="fr-CA"/>
        </w:rPr>
        <w:t xml:space="preserve"> </w:t>
      </w:r>
      <w:bookmarkStart w:id="58" w:name="lt_pId055"/>
      <w:r w:rsidR="002402D9" w:rsidRPr="00BB6E71">
        <w:rPr>
          <w:rFonts w:ascii="Georgia" w:eastAsia="Georgia" w:hAnsi="Georgia" w:cs="Georgia"/>
          <w:lang w:val="fr-CA"/>
        </w:rPr>
        <w:t>Il est recommandé aux investisseurs d’obtenir des conseils fiscaux par leurs propres moyens en fonction de leur situation particulière.</w:t>
      </w:r>
      <w:bookmarkEnd w:id="58"/>
      <w:r w:rsidR="0017346B" w:rsidRPr="00BB6E71">
        <w:rPr>
          <w:rFonts w:ascii="Georgia" w:eastAsia="Georgia" w:hAnsi="Georgia" w:cs="Georgia"/>
          <w:lang w:val="fr-CA"/>
        </w:rPr>
        <w:t xml:space="preserve"> </w:t>
      </w:r>
      <w:bookmarkStart w:id="59" w:name="lt_pId056"/>
      <w:r w:rsidR="003C2AA7" w:rsidRPr="00BB6E71">
        <w:rPr>
          <w:rFonts w:ascii="Georgia" w:eastAsia="Georgia" w:hAnsi="Georgia" w:cs="Georgia"/>
          <w:lang w:val="fr-CA"/>
        </w:rPr>
        <w:t>Dans la mesure où un investisseur a subi une perte globale pour l’année d’imposition en raison du revenu net négatif indiqué à la case</w:t>
      </w:r>
      <w:r w:rsidR="004D6D8B">
        <w:rPr>
          <w:rFonts w:ascii="Georgia" w:eastAsia="Georgia" w:hAnsi="Georgia" w:cs="Georgia"/>
          <w:lang w:val="fr-CA"/>
        </w:rPr>
        <w:t> </w:t>
      </w:r>
      <w:r w:rsidR="003C2AA7" w:rsidRPr="00BB6E71">
        <w:rPr>
          <w:rFonts w:ascii="Georgia" w:eastAsia="Georgia" w:hAnsi="Georgia" w:cs="Georgia"/>
          <w:lang w:val="fr-CA"/>
        </w:rPr>
        <w:t>104 (</w:t>
      </w:r>
      <w:r w:rsidR="003C041C">
        <w:rPr>
          <w:rFonts w:ascii="Georgia" w:eastAsia="Georgia" w:hAnsi="Georgia" w:cs="Georgia"/>
          <w:lang w:val="fr-CA"/>
        </w:rPr>
        <w:t>c.-à-d.,</w:t>
      </w:r>
      <w:r w:rsidR="003C2AA7" w:rsidRPr="00BB6E71">
        <w:rPr>
          <w:rFonts w:ascii="Georgia" w:eastAsia="Georgia" w:hAnsi="Georgia" w:cs="Georgia"/>
          <w:lang w:val="fr-CA"/>
        </w:rPr>
        <w:t xml:space="preserve"> une perte) majoré des déductions correspondant aux dépenses de la case</w:t>
      </w:r>
      <w:r w:rsidR="004D6D8B">
        <w:rPr>
          <w:rFonts w:ascii="Georgia" w:eastAsia="Georgia" w:hAnsi="Georgia" w:cs="Georgia"/>
          <w:lang w:val="fr-CA"/>
        </w:rPr>
        <w:t> </w:t>
      </w:r>
      <w:r w:rsidR="003C2AA7" w:rsidRPr="00BB6E71">
        <w:rPr>
          <w:rFonts w:ascii="Georgia" w:eastAsia="Georgia" w:hAnsi="Georgia" w:cs="Georgia"/>
          <w:lang w:val="fr-CA"/>
        </w:rPr>
        <w:t>210 du feuillet</w:t>
      </w:r>
      <w:r w:rsidR="004D6D8B">
        <w:rPr>
          <w:rFonts w:ascii="Georgia" w:eastAsia="Georgia" w:hAnsi="Georgia" w:cs="Georgia"/>
          <w:lang w:val="fr-CA"/>
        </w:rPr>
        <w:t> </w:t>
      </w:r>
      <w:r w:rsidR="003C2AA7" w:rsidRPr="00BB6E71">
        <w:rPr>
          <w:rFonts w:ascii="Georgia" w:eastAsia="Georgia" w:hAnsi="Georgia" w:cs="Georgia"/>
          <w:lang w:val="fr-CA"/>
        </w:rPr>
        <w:t>T5013, après avoir appliqué le revenu net négatif de la case</w:t>
      </w:r>
      <w:r w:rsidR="004D6D8B">
        <w:rPr>
          <w:rFonts w:ascii="Georgia" w:eastAsia="Georgia" w:hAnsi="Georgia" w:cs="Georgia"/>
          <w:lang w:val="fr-CA"/>
        </w:rPr>
        <w:t> </w:t>
      </w:r>
      <w:r w:rsidR="003C2AA7" w:rsidRPr="00BB6E71">
        <w:rPr>
          <w:rFonts w:ascii="Georgia" w:eastAsia="Georgia" w:hAnsi="Georgia" w:cs="Georgia"/>
          <w:lang w:val="fr-CA"/>
        </w:rPr>
        <w:t>104 et les dépenses de la case</w:t>
      </w:r>
      <w:r w:rsidR="004D6D8B">
        <w:rPr>
          <w:rFonts w:ascii="Georgia" w:eastAsia="Georgia" w:hAnsi="Georgia" w:cs="Georgia"/>
          <w:lang w:val="fr-CA"/>
        </w:rPr>
        <w:t> </w:t>
      </w:r>
      <w:r w:rsidR="003C2AA7" w:rsidRPr="00BB6E71">
        <w:rPr>
          <w:rFonts w:ascii="Georgia" w:eastAsia="Georgia" w:hAnsi="Georgia" w:cs="Georgia"/>
          <w:lang w:val="fr-CA"/>
        </w:rPr>
        <w:t>210 au revenu total de l’investisseur pour l’année d’imposition visée, une perte autre qu’en capital pourrait être admissible à la règle générale de report rétrospectif d’une perte à l’une des trois années d’imposition précédente</w:t>
      </w:r>
      <w:r w:rsidR="00BB6E71" w:rsidRPr="00BB6E71">
        <w:rPr>
          <w:rFonts w:ascii="Georgia" w:eastAsia="Georgia" w:hAnsi="Georgia" w:cs="Georgia"/>
          <w:lang w:val="fr-CA"/>
        </w:rPr>
        <w:t>s</w:t>
      </w:r>
      <w:r w:rsidR="003C2AA7" w:rsidRPr="00BB6E71">
        <w:rPr>
          <w:rFonts w:ascii="Georgia" w:eastAsia="Georgia" w:hAnsi="Georgia" w:cs="Georgia"/>
          <w:lang w:val="fr-CA"/>
        </w:rPr>
        <w:t xml:space="preserve"> et de report prospectif d’une perte à l’une des vingt années d’imposition suivantes aux fins de l’impôt. </w:t>
      </w:r>
      <w:bookmarkEnd w:id="59"/>
    </w:p>
    <w:p w14:paraId="4088630D" w14:textId="77777777" w:rsidR="00002E03" w:rsidRPr="00BB6E71" w:rsidRDefault="00002E03">
      <w:pPr>
        <w:ind w:left="720"/>
        <w:rPr>
          <w:rFonts w:ascii="Georgia" w:eastAsia="Georgia" w:hAnsi="Georgia" w:cs="Georgia"/>
          <w:lang w:val="fr-CA"/>
        </w:rPr>
      </w:pPr>
    </w:p>
    <w:p w14:paraId="4B4CB720" w14:textId="77777777" w:rsidR="00002E03" w:rsidRPr="00BB6E71" w:rsidRDefault="00002E03">
      <w:pPr>
        <w:ind w:left="720"/>
        <w:rPr>
          <w:rFonts w:ascii="Georgia" w:eastAsia="Georgia" w:hAnsi="Georgia" w:cs="Georgia"/>
          <w:b/>
          <w:i/>
          <w:lang w:val="fr-CA"/>
        </w:rPr>
      </w:pPr>
    </w:p>
    <w:p w14:paraId="591A1274" w14:textId="04376F70" w:rsidR="00002E03" w:rsidRPr="00BB6E71" w:rsidRDefault="00B37D32">
      <w:pPr>
        <w:ind w:left="720"/>
        <w:rPr>
          <w:rFonts w:ascii="Georgia" w:eastAsia="Georgia" w:hAnsi="Georgia" w:cs="Georgia"/>
          <w:b/>
          <w:i/>
          <w:lang w:val="fr-CA"/>
        </w:rPr>
      </w:pPr>
      <w:bookmarkStart w:id="60" w:name="lt_pId057"/>
      <w:r w:rsidRPr="00BB6E71">
        <w:rPr>
          <w:rFonts w:ascii="Georgia" w:eastAsia="Georgia" w:hAnsi="Georgia" w:cs="Georgia"/>
          <w:b/>
          <w:i/>
          <w:lang w:val="fr-CA"/>
        </w:rPr>
        <w:t>Nous réitérons notre avis au sujet de la responsabilité de chaque investisseur d’obtenir des conseils fiscaux par ses propres moyens en fonction de sa situation particulière.</w:t>
      </w:r>
      <w:bookmarkEnd w:id="60"/>
      <w:r w:rsidRPr="00BB6E71">
        <w:rPr>
          <w:rFonts w:ascii="Georgia" w:eastAsia="Georgia" w:hAnsi="Georgia" w:cs="Georgia"/>
          <w:b/>
          <w:i/>
          <w:lang w:val="fr-CA"/>
        </w:rPr>
        <w:t xml:space="preserve"> </w:t>
      </w:r>
      <w:bookmarkStart w:id="61" w:name="lt_pId058"/>
      <w:r w:rsidR="000E7BC9" w:rsidRPr="00BB6E71">
        <w:rPr>
          <w:rFonts w:ascii="Georgia" w:eastAsia="Georgia" w:hAnsi="Georgia" w:cs="Georgia"/>
          <w:b/>
          <w:i/>
          <w:lang w:val="fr-CA"/>
        </w:rPr>
        <w:t>Le séquestre n’est pas en mesure d’offrir des conseils fiscaux aux porteurs de parts.</w:t>
      </w:r>
      <w:bookmarkEnd w:id="61"/>
    </w:p>
    <w:sectPr w:rsidR="00002E03" w:rsidRPr="00BB6E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B398" w14:textId="77777777" w:rsidR="00325F74" w:rsidRDefault="00325F74">
      <w:pPr>
        <w:spacing w:line="240" w:lineRule="auto"/>
      </w:pPr>
      <w:r>
        <w:separator/>
      </w:r>
    </w:p>
  </w:endnote>
  <w:endnote w:type="continuationSeparator" w:id="0">
    <w:p w14:paraId="16ABC42C" w14:textId="77777777" w:rsidR="00325F74" w:rsidRDefault="00325F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8E2F" w14:textId="77777777" w:rsidR="004D6D8B" w:rsidRDefault="004D6D8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0E4CA" w14:textId="77777777" w:rsidR="004D6D8B" w:rsidRDefault="004D6D8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A5E71" w14:textId="77777777" w:rsidR="004D6D8B" w:rsidRDefault="004D6D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A845C" w14:textId="77777777" w:rsidR="00325F74" w:rsidRDefault="00325F74">
      <w:pPr>
        <w:spacing w:line="240" w:lineRule="auto"/>
      </w:pPr>
      <w:r>
        <w:separator/>
      </w:r>
    </w:p>
  </w:footnote>
  <w:footnote w:type="continuationSeparator" w:id="0">
    <w:p w14:paraId="3AC61861" w14:textId="77777777" w:rsidR="00325F74" w:rsidRDefault="00325F74">
      <w:pPr>
        <w:spacing w:line="240" w:lineRule="auto"/>
      </w:pPr>
      <w:r>
        <w:continuationSeparator/>
      </w:r>
    </w:p>
  </w:footnote>
  <w:footnote w:id="1">
    <w:p w14:paraId="731CB5C0" w14:textId="2068C12F" w:rsidR="00002E03" w:rsidRPr="0034677B" w:rsidRDefault="00A72C81">
      <w:pPr>
        <w:spacing w:line="240" w:lineRule="auto"/>
        <w:rPr>
          <w:rFonts w:ascii="Georgia" w:eastAsia="Georgia" w:hAnsi="Georgia" w:cs="Georgia"/>
          <w:sz w:val="20"/>
          <w:szCs w:val="20"/>
          <w:lang w:val="en-US"/>
        </w:rPr>
      </w:pPr>
      <w:r w:rsidRPr="007134D2">
        <w:rPr>
          <w:vertAlign w:val="superscript"/>
          <w:lang w:val="fr-CA"/>
        </w:rPr>
        <w:footnoteRef/>
      </w:r>
      <w:r w:rsidRPr="007134D2">
        <w:rPr>
          <w:rFonts w:ascii="Georgia" w:eastAsia="Georgia" w:hAnsi="Georgia" w:cs="Georgia"/>
          <w:sz w:val="20"/>
          <w:szCs w:val="20"/>
          <w:lang w:val="en-US"/>
        </w:rPr>
        <w:t xml:space="preserve"> </w:t>
      </w:r>
      <w:bookmarkStart w:id="2" w:name="lt_pId059"/>
      <w:r w:rsidR="00CE74A4" w:rsidRPr="00AD5E40">
        <w:rPr>
          <w:rFonts w:ascii="Georgia" w:eastAsia="Georgia" w:hAnsi="Georgia" w:cs="Georgia"/>
          <w:sz w:val="20"/>
          <w:szCs w:val="20"/>
          <w:lang w:val="en-US"/>
        </w:rPr>
        <w:t xml:space="preserve">Les </w:t>
      </w:r>
      <w:proofErr w:type="spellStart"/>
      <w:r w:rsidR="00CE74A4" w:rsidRPr="00AD5E40">
        <w:rPr>
          <w:rFonts w:ascii="Georgia" w:eastAsia="Georgia" w:hAnsi="Georgia" w:cs="Georgia"/>
          <w:sz w:val="20"/>
          <w:szCs w:val="20"/>
          <w:lang w:val="en-US"/>
        </w:rPr>
        <w:t>entités</w:t>
      </w:r>
      <w:proofErr w:type="spellEnd"/>
      <w:r w:rsidR="00CE74A4" w:rsidRPr="00AD5E40">
        <w:rPr>
          <w:rFonts w:ascii="Georgia" w:eastAsia="Georgia" w:hAnsi="Georgia" w:cs="Georgia"/>
          <w:sz w:val="20"/>
          <w:szCs w:val="20"/>
          <w:lang w:val="en-US"/>
        </w:rPr>
        <w:t xml:space="preserve"> </w:t>
      </w:r>
      <w:proofErr w:type="spellStart"/>
      <w:r w:rsidR="00CE74A4" w:rsidRPr="00AD5E40">
        <w:rPr>
          <w:rFonts w:ascii="Georgia" w:eastAsia="Georgia" w:hAnsi="Georgia" w:cs="Georgia"/>
          <w:sz w:val="20"/>
          <w:szCs w:val="20"/>
          <w:lang w:val="en-US"/>
        </w:rPr>
        <w:t>actuellement</w:t>
      </w:r>
      <w:proofErr w:type="spellEnd"/>
      <w:r w:rsidR="00CE74A4" w:rsidRPr="00AD5E40">
        <w:rPr>
          <w:rFonts w:ascii="Georgia" w:eastAsia="Georgia" w:hAnsi="Georgia" w:cs="Georgia"/>
          <w:sz w:val="20"/>
          <w:szCs w:val="20"/>
          <w:lang w:val="en-US"/>
        </w:rPr>
        <w:t xml:space="preserve"> sous </w:t>
      </w:r>
      <w:proofErr w:type="spellStart"/>
      <w:r w:rsidR="00CE74A4" w:rsidRPr="00AD5E40">
        <w:rPr>
          <w:rFonts w:ascii="Georgia" w:eastAsia="Georgia" w:hAnsi="Georgia" w:cs="Georgia"/>
          <w:sz w:val="20"/>
          <w:szCs w:val="20"/>
          <w:lang w:val="en-US"/>
        </w:rPr>
        <w:t>séquestre</w:t>
      </w:r>
      <w:proofErr w:type="spellEnd"/>
      <w:r w:rsidR="00CE74A4" w:rsidRPr="00AD5E40">
        <w:rPr>
          <w:rFonts w:ascii="Georgia" w:eastAsia="Georgia" w:hAnsi="Georgia" w:cs="Georgia"/>
          <w:sz w:val="20"/>
          <w:szCs w:val="20"/>
          <w:lang w:val="en-US"/>
        </w:rPr>
        <w:t xml:space="preserve"> </w:t>
      </w:r>
      <w:proofErr w:type="spellStart"/>
      <w:r w:rsidR="00CE74A4" w:rsidRPr="00AD5E40">
        <w:rPr>
          <w:rFonts w:ascii="Georgia" w:eastAsia="Georgia" w:hAnsi="Georgia" w:cs="Georgia"/>
          <w:sz w:val="20"/>
          <w:szCs w:val="20"/>
          <w:lang w:val="en-US"/>
        </w:rPr>
        <w:t>sont</w:t>
      </w:r>
      <w:proofErr w:type="spellEnd"/>
      <w:r w:rsidR="00CE74A4" w:rsidRPr="00AD5E40">
        <w:rPr>
          <w:rFonts w:ascii="Georgia" w:eastAsia="Georgia" w:hAnsi="Georgia" w:cs="Georgia"/>
          <w:sz w:val="20"/>
          <w:szCs w:val="20"/>
          <w:lang w:val="en-US"/>
        </w:rPr>
        <w:t xml:space="preserve"> les </w:t>
      </w:r>
      <w:proofErr w:type="spellStart"/>
      <w:r w:rsidR="00CE74A4" w:rsidRPr="00AD5E40">
        <w:rPr>
          <w:rFonts w:ascii="Georgia" w:eastAsia="Georgia" w:hAnsi="Georgia" w:cs="Georgia"/>
          <w:sz w:val="20"/>
          <w:szCs w:val="20"/>
          <w:lang w:val="en-US"/>
        </w:rPr>
        <w:t>suivantes</w:t>
      </w:r>
      <w:proofErr w:type="spellEnd"/>
      <w:r w:rsidR="004D6D8B">
        <w:rPr>
          <w:rFonts w:ascii="Georgia" w:eastAsia="Georgia" w:hAnsi="Georgia" w:cs="Georgia"/>
          <w:sz w:val="20"/>
          <w:szCs w:val="20"/>
          <w:lang w:val="en-US"/>
        </w:rPr>
        <w:t> </w:t>
      </w:r>
      <w:r w:rsidR="00CE74A4" w:rsidRPr="00AE5113">
        <w:rPr>
          <w:rFonts w:ascii="Georgia" w:eastAsia="Georgia" w:hAnsi="Georgia" w:cs="Georgia"/>
          <w:sz w:val="20"/>
          <w:szCs w:val="20"/>
          <w:lang w:val="en-US"/>
        </w:rPr>
        <w:t>: Bridging Finance Inc., Bridging Income Fund LP, Bridging Mid-Market Debt Fund LP, SB Fund GP Inc., Bridging Finance GP Inc., Bridging Income RSP Fund, Bridging Mid-Market Debt RSP Fund, Bridging Private Debt Institutional LP, Bridging Real Estate Lending Fund LP, Bridging SMA 1 LP, Bridging Infrastructure Fund LP, Bridging MJ GP Inc., Bridging Indigenous Impact Fund, Bridging Fern Alternative Credit Fund, Bridging SMA 2 LP, Bridging SMA 2 GP Inc. et Bridging Private Debt Institutional RSP Fund.</w:t>
      </w:r>
      <w:bookmarkEnd w:id="2"/>
    </w:p>
  </w:footnote>
  <w:footnote w:id="2">
    <w:p w14:paraId="2F756DB4" w14:textId="4EC71864" w:rsidR="00002E03" w:rsidRPr="0034677B" w:rsidRDefault="00A72C81">
      <w:pPr>
        <w:spacing w:line="240" w:lineRule="auto"/>
        <w:rPr>
          <w:rFonts w:ascii="Georgia" w:eastAsia="Georgia" w:hAnsi="Georgia" w:cs="Georgia"/>
          <w:sz w:val="20"/>
          <w:szCs w:val="20"/>
          <w:lang w:val="fr-CA"/>
        </w:rPr>
      </w:pPr>
      <w:r w:rsidRPr="00BB6E71">
        <w:rPr>
          <w:vertAlign w:val="superscript"/>
          <w:lang w:val="fr-CA"/>
        </w:rPr>
        <w:footnoteRef/>
      </w:r>
      <w:r w:rsidRPr="00BB6E71">
        <w:rPr>
          <w:rFonts w:ascii="Georgia" w:eastAsia="Georgia" w:hAnsi="Georgia" w:cs="Georgia"/>
          <w:sz w:val="20"/>
          <w:szCs w:val="20"/>
          <w:lang w:val="fr-CA"/>
        </w:rPr>
        <w:t xml:space="preserve"> </w:t>
      </w:r>
      <w:bookmarkStart w:id="8" w:name="lt_pId060"/>
      <w:r w:rsidR="00723C92" w:rsidRPr="00BB6E71">
        <w:rPr>
          <w:rFonts w:ascii="Georgia" w:eastAsia="Georgia" w:hAnsi="Georgia" w:cs="Georgia"/>
          <w:sz w:val="20"/>
          <w:szCs w:val="20"/>
          <w:lang w:val="fr-CA"/>
        </w:rPr>
        <w:t>Se reporter à la question</w:t>
      </w:r>
      <w:r w:rsidR="004D6D8B">
        <w:rPr>
          <w:rFonts w:ascii="Georgia" w:eastAsia="Georgia" w:hAnsi="Georgia" w:cs="Georgia"/>
          <w:sz w:val="20"/>
          <w:szCs w:val="20"/>
          <w:lang w:val="fr-CA"/>
        </w:rPr>
        <w:t> </w:t>
      </w:r>
      <w:r w:rsidR="00723C92" w:rsidRPr="00BB6E71">
        <w:rPr>
          <w:rFonts w:ascii="Georgia" w:eastAsia="Georgia" w:hAnsi="Georgia" w:cs="Georgia"/>
          <w:sz w:val="20"/>
          <w:szCs w:val="20"/>
          <w:lang w:val="fr-CA"/>
        </w:rPr>
        <w:t>5 pour obtenir des précisions au sujet des fonds visés et des fonds non visés.</w:t>
      </w:r>
      <w:bookmarkEnd w:id="8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419C8" w14:textId="77777777" w:rsidR="004D6D8B" w:rsidRDefault="004D6D8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33F9" w14:textId="77777777" w:rsidR="00002E03" w:rsidRDefault="00A72C81">
    <w:r>
      <w:rPr>
        <w:noProof/>
      </w:rPr>
      <w:drawing>
        <wp:inline distT="114300" distB="114300" distL="114300" distR="114300" wp14:anchorId="13DE2C4B" wp14:editId="4D55E41B">
          <wp:extent cx="1485900" cy="113347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652503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900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5E6BD" w14:textId="77777777" w:rsidR="004D6D8B" w:rsidRDefault="004D6D8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2910"/>
    <w:multiLevelType w:val="hybridMultilevel"/>
    <w:tmpl w:val="00000000"/>
    <w:lvl w:ilvl="0" w:tplc="BEAAF66E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8ED866C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6E24DF08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AFDE70F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17B01C32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294CBDC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1546A35C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A14E96A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0EBEFB06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E03"/>
    <w:rsid w:val="00002E03"/>
    <w:rsid w:val="00021B1C"/>
    <w:rsid w:val="00064887"/>
    <w:rsid w:val="000733DE"/>
    <w:rsid w:val="000A099E"/>
    <w:rsid w:val="000E7BC9"/>
    <w:rsid w:val="00145E97"/>
    <w:rsid w:val="00160169"/>
    <w:rsid w:val="0017346B"/>
    <w:rsid w:val="001A224D"/>
    <w:rsid w:val="001A2C06"/>
    <w:rsid w:val="001B2827"/>
    <w:rsid w:val="001B4A2C"/>
    <w:rsid w:val="001B644E"/>
    <w:rsid w:val="001B7CFF"/>
    <w:rsid w:val="001F0C8E"/>
    <w:rsid w:val="002402D9"/>
    <w:rsid w:val="0027712D"/>
    <w:rsid w:val="002A6A3A"/>
    <w:rsid w:val="00313AFD"/>
    <w:rsid w:val="00325F74"/>
    <w:rsid w:val="003313AC"/>
    <w:rsid w:val="0034677B"/>
    <w:rsid w:val="003619F1"/>
    <w:rsid w:val="003C041C"/>
    <w:rsid w:val="003C2AA7"/>
    <w:rsid w:val="003D4A9B"/>
    <w:rsid w:val="00411E58"/>
    <w:rsid w:val="004408EA"/>
    <w:rsid w:val="004B5371"/>
    <w:rsid w:val="004C0475"/>
    <w:rsid w:val="004D6D8B"/>
    <w:rsid w:val="0054300F"/>
    <w:rsid w:val="00543B83"/>
    <w:rsid w:val="005529F5"/>
    <w:rsid w:val="00560E74"/>
    <w:rsid w:val="00572437"/>
    <w:rsid w:val="005770DE"/>
    <w:rsid w:val="00592D2A"/>
    <w:rsid w:val="00596133"/>
    <w:rsid w:val="005A4277"/>
    <w:rsid w:val="006032ED"/>
    <w:rsid w:val="00612E85"/>
    <w:rsid w:val="0064633E"/>
    <w:rsid w:val="006669CD"/>
    <w:rsid w:val="006A71A8"/>
    <w:rsid w:val="006B459C"/>
    <w:rsid w:val="006D0F57"/>
    <w:rsid w:val="006D6733"/>
    <w:rsid w:val="007134D2"/>
    <w:rsid w:val="00723C92"/>
    <w:rsid w:val="00743F7A"/>
    <w:rsid w:val="00765F04"/>
    <w:rsid w:val="0077425F"/>
    <w:rsid w:val="007B0923"/>
    <w:rsid w:val="007B73B1"/>
    <w:rsid w:val="007C100D"/>
    <w:rsid w:val="008734C1"/>
    <w:rsid w:val="00876A10"/>
    <w:rsid w:val="0087751E"/>
    <w:rsid w:val="0088405B"/>
    <w:rsid w:val="00887F1A"/>
    <w:rsid w:val="008B638D"/>
    <w:rsid w:val="00902154"/>
    <w:rsid w:val="009A31D9"/>
    <w:rsid w:val="00A240B2"/>
    <w:rsid w:val="00A6225F"/>
    <w:rsid w:val="00A72C81"/>
    <w:rsid w:val="00A94BE5"/>
    <w:rsid w:val="00AC3F39"/>
    <w:rsid w:val="00AD5E40"/>
    <w:rsid w:val="00AE5113"/>
    <w:rsid w:val="00AE6510"/>
    <w:rsid w:val="00B07442"/>
    <w:rsid w:val="00B31CE5"/>
    <w:rsid w:val="00B37D32"/>
    <w:rsid w:val="00BB6E71"/>
    <w:rsid w:val="00BE13D5"/>
    <w:rsid w:val="00C22D64"/>
    <w:rsid w:val="00C63452"/>
    <w:rsid w:val="00CD41C8"/>
    <w:rsid w:val="00CE74A4"/>
    <w:rsid w:val="00D76F68"/>
    <w:rsid w:val="00D820EA"/>
    <w:rsid w:val="00DA2E08"/>
    <w:rsid w:val="00DB3E2D"/>
    <w:rsid w:val="00DE7BFF"/>
    <w:rsid w:val="00E25765"/>
    <w:rsid w:val="00E44FA4"/>
    <w:rsid w:val="00E75F2C"/>
    <w:rsid w:val="00E97B66"/>
    <w:rsid w:val="00EB0914"/>
    <w:rsid w:val="00EF0B9D"/>
    <w:rsid w:val="00F3660A"/>
    <w:rsid w:val="00F43C57"/>
    <w:rsid w:val="00F87226"/>
    <w:rsid w:val="00FA7CB2"/>
    <w:rsid w:val="00FC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ABDD1"/>
  <w15:docId w15:val="{85DBE4F5-0894-4CE1-8898-63AA89B7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pPr>
      <w:keepNext/>
      <w:keepLines/>
      <w:spacing w:after="60" w:line="240" w:lineRule="auto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 w:line="240" w:lineRule="auto"/>
    </w:pPr>
    <w:rPr>
      <w:color w:val="666666"/>
      <w:sz w:val="30"/>
      <w:szCs w:val="30"/>
    </w:rPr>
  </w:style>
  <w:style w:type="character" w:styleId="Marquedecommentaire">
    <w:name w:val="annotation reference"/>
    <w:basedOn w:val="Policepardfaut"/>
    <w:uiPriority w:val="99"/>
    <w:semiHidden/>
    <w:unhideWhenUsed/>
    <w:rsid w:val="00DB3E2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B3E2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B3E2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B3E2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B3E2D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1A224D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224D"/>
  </w:style>
  <w:style w:type="paragraph" w:styleId="Pieddepage">
    <w:name w:val="footer"/>
    <w:basedOn w:val="Normal"/>
    <w:link w:val="PieddepageCar"/>
    <w:uiPriority w:val="99"/>
    <w:unhideWhenUsed/>
    <w:rsid w:val="001A224D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2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anada.ca/content/dam/cra-arc/formspubs/pub/t5013-inst/t5013-inst-22f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Michele Caden (CA)</cp:lastModifiedBy>
  <cp:revision>2</cp:revision>
  <cp:lastPrinted>2023-04-13T15:40:00Z</cp:lastPrinted>
  <dcterms:created xsi:type="dcterms:W3CDTF">2023-04-14T18:34:00Z</dcterms:created>
  <dcterms:modified xsi:type="dcterms:W3CDTF">2023-04-14T18:34:00Z</dcterms:modified>
</cp:coreProperties>
</file>